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9E21" w14:textId="77777777" w:rsidR="00AA3C05" w:rsidRPr="005F1972" w:rsidRDefault="00B96519" w:rsidP="005F1972">
      <w:pPr>
        <w:pStyle w:val="a3"/>
        <w:shd w:val="clear" w:color="auto" w:fill="FFFFFF"/>
        <w:spacing w:before="0" w:after="0" w:afterAutospacing="0" w:line="276" w:lineRule="auto"/>
        <w:jc w:val="center"/>
        <w:textAlignment w:val="baseline"/>
        <w:rPr>
          <w:rFonts w:ascii="Bookman Old Style" w:hAnsi="Bookman Old Style"/>
          <w:b/>
          <w:color w:val="002060"/>
          <w:sz w:val="28"/>
          <w:szCs w:val="28"/>
          <w:lang w:val="uk-UA"/>
        </w:rPr>
      </w:pPr>
      <w:r w:rsidRPr="005F1972">
        <w:rPr>
          <w:rFonts w:ascii="Bookman Old Style" w:hAnsi="Bookman Old Style"/>
          <w:b/>
          <w:color w:val="002060"/>
          <w:sz w:val="28"/>
          <w:szCs w:val="28"/>
          <w:lang w:val="uk-UA"/>
        </w:rPr>
        <w:t xml:space="preserve">Міністерство освіти і науки України оновило Положення про атестацію педагогічних працівників </w:t>
      </w:r>
    </w:p>
    <w:p w14:paraId="6BC873F7" w14:textId="3C0C6D66" w:rsidR="00B96519" w:rsidRPr="005F1972" w:rsidRDefault="00B96519" w:rsidP="005F1972">
      <w:pPr>
        <w:pStyle w:val="a3"/>
        <w:shd w:val="clear" w:color="auto" w:fill="FFFFFF"/>
        <w:spacing w:before="0" w:after="0" w:afterAutospacing="0"/>
        <w:jc w:val="center"/>
        <w:textAlignment w:val="baseline"/>
        <w:rPr>
          <w:rFonts w:ascii="Bookman Old Style" w:eastAsia="Times New Roman" w:hAnsi="Bookman Old Style"/>
          <w:b/>
          <w:color w:val="002060"/>
          <w:sz w:val="28"/>
          <w:szCs w:val="28"/>
          <w:lang w:val="uk-UA"/>
        </w:rPr>
      </w:pPr>
      <w:r w:rsidRPr="005F1972">
        <w:rPr>
          <w:rFonts w:ascii="Bookman Old Style" w:hAnsi="Bookman Old Style"/>
          <w:b/>
          <w:color w:val="002060"/>
          <w:sz w:val="28"/>
          <w:szCs w:val="28"/>
          <w:lang w:val="uk-UA"/>
        </w:rPr>
        <w:t xml:space="preserve">(наказ МОН від 09.09.2022 № 805, </w:t>
      </w:r>
      <w:r w:rsidR="005F1972">
        <w:rPr>
          <w:rFonts w:ascii="Bookman Old Style" w:hAnsi="Bookman Old Style"/>
          <w:b/>
          <w:color w:val="002060"/>
          <w:sz w:val="28"/>
          <w:szCs w:val="28"/>
          <w:lang w:val="uk-UA"/>
        </w:rPr>
        <w:t xml:space="preserve">                                                        </w:t>
      </w:r>
      <w:r w:rsidRPr="005F1972">
        <w:rPr>
          <w:rFonts w:ascii="Bookman Old Style" w:hAnsi="Bookman Old Style"/>
          <w:b/>
          <w:color w:val="002060"/>
          <w:sz w:val="28"/>
          <w:szCs w:val="28"/>
          <w:lang w:val="uk-UA"/>
        </w:rPr>
        <w:t>у редакції </w:t>
      </w:r>
      <w:hyperlink r:id="rId5" w:history="1">
        <w:r w:rsidRPr="005F1972">
          <w:rPr>
            <w:rStyle w:val="a4"/>
            <w:rFonts w:ascii="Bookman Old Style" w:hAnsi="Bookman Old Style"/>
            <w:b/>
            <w:color w:val="002060"/>
            <w:sz w:val="28"/>
            <w:szCs w:val="28"/>
            <w:bdr w:val="none" w:sz="0" w:space="0" w:color="auto" w:frame="1"/>
            <w:lang w:val="uk-UA"/>
          </w:rPr>
          <w:t>наказу від 10.09.2024 № 1277</w:t>
        </w:r>
      </w:hyperlink>
      <w:r w:rsidRPr="005F1972">
        <w:rPr>
          <w:rFonts w:ascii="Bookman Old Style" w:hAnsi="Bookman Old Style"/>
          <w:b/>
          <w:color w:val="002060"/>
          <w:sz w:val="28"/>
          <w:szCs w:val="28"/>
          <w:lang w:val="uk-UA"/>
        </w:rPr>
        <w:t>)</w:t>
      </w:r>
    </w:p>
    <w:p w14:paraId="0415AEB0" w14:textId="77777777" w:rsidR="00B96519" w:rsidRPr="005F1972" w:rsidRDefault="00B96519" w:rsidP="005F1972">
      <w:pPr>
        <w:pStyle w:val="a3"/>
        <w:shd w:val="clear" w:color="auto" w:fill="FFFFFF"/>
        <w:spacing w:before="0" w:beforeAutospacing="0" w:after="225" w:afterAutospacing="0"/>
        <w:jc w:val="both"/>
        <w:textAlignment w:val="baseline"/>
        <w:rPr>
          <w:rFonts w:ascii="Bookman Old Style" w:hAnsi="Bookman Old Style"/>
          <w:b/>
          <w:color w:val="002060"/>
          <w:sz w:val="28"/>
          <w:szCs w:val="28"/>
          <w:lang w:val="uk-UA"/>
        </w:rPr>
      </w:pPr>
    </w:p>
    <w:p w14:paraId="4EDB5567" w14:textId="77777777" w:rsidR="00B96519" w:rsidRPr="005F1972" w:rsidRDefault="00B96519" w:rsidP="005F1972">
      <w:pPr>
        <w:pStyle w:val="a3"/>
        <w:shd w:val="clear" w:color="auto" w:fill="FFFFFF"/>
        <w:spacing w:before="0" w:beforeAutospacing="0" w:after="225" w:afterAutospacing="0" w:line="360" w:lineRule="auto"/>
        <w:ind w:firstLine="567"/>
        <w:jc w:val="both"/>
        <w:textAlignment w:val="baseline"/>
        <w:rPr>
          <w:rFonts w:ascii="Bookman Old Style" w:hAnsi="Bookman Old Style"/>
          <w:sz w:val="28"/>
          <w:szCs w:val="28"/>
          <w:lang w:val="uk-UA"/>
        </w:rPr>
      </w:pPr>
      <w:r w:rsidRPr="005F1972">
        <w:rPr>
          <w:rFonts w:ascii="Bookman Old Style" w:hAnsi="Bookman Old Style"/>
          <w:sz w:val="28"/>
          <w:szCs w:val="28"/>
          <w:lang w:val="uk-UA"/>
        </w:rPr>
        <w:t>Положення розроблено з метою удосконалення й осучаснення механізму оцінювання роботи педагогів та усунення законодавчих колізій.</w:t>
      </w:r>
    </w:p>
    <w:p w14:paraId="4F68247D" w14:textId="77777777" w:rsidR="00B96519" w:rsidRPr="005F1972" w:rsidRDefault="00B96519" w:rsidP="00D37082">
      <w:pPr>
        <w:pStyle w:val="a3"/>
        <w:shd w:val="clear" w:color="auto" w:fill="FFFFFF"/>
        <w:spacing w:before="0" w:beforeAutospacing="0" w:after="225" w:afterAutospacing="0" w:line="360" w:lineRule="auto"/>
        <w:jc w:val="both"/>
        <w:textAlignment w:val="baseline"/>
        <w:rPr>
          <w:rFonts w:ascii="Bookman Old Style" w:hAnsi="Bookman Old Style"/>
          <w:sz w:val="28"/>
          <w:szCs w:val="28"/>
          <w:lang w:val="uk-UA"/>
        </w:rPr>
      </w:pPr>
      <w:r w:rsidRPr="005F1972">
        <w:rPr>
          <w:rFonts w:ascii="Bookman Old Style" w:hAnsi="Bookman Old Style"/>
          <w:sz w:val="28"/>
          <w:szCs w:val="28"/>
          <w:lang w:val="uk-UA"/>
        </w:rPr>
        <w:t>Що змінено:</w:t>
      </w:r>
    </w:p>
    <w:p w14:paraId="694CA19B" w14:textId="77777777" w:rsidR="00B96519" w:rsidRPr="005F1972" w:rsidRDefault="00B96519" w:rsidP="005F1972">
      <w:pPr>
        <w:pStyle w:val="a3"/>
        <w:numPr>
          <w:ilvl w:val="0"/>
          <w:numId w:val="2"/>
        </w:numPr>
        <w:shd w:val="clear" w:color="auto" w:fill="FFFFFF"/>
        <w:tabs>
          <w:tab w:val="clear" w:pos="720"/>
          <w:tab w:val="num" w:pos="360"/>
          <w:tab w:val="left" w:pos="8647"/>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Урегульовано питання присвоєння педагогічних звань і кваліфікаційних категорій учителям, які не мають вищої освіти.</w:t>
      </w:r>
    </w:p>
    <w:p w14:paraId="3BE09B1D"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Визначено, що за педагогами, які переходять на роботу в інші заклади освіти на ті ж посади або переривають свою роботу, зберігаються педагогічні звання і кваліфікаційні категорії до наступної атестації.</w:t>
      </w:r>
    </w:p>
    <w:p w14:paraId="32AB7F47"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 xml:space="preserve">Удосконалено порядок  створення атестаційних комісій та визначено перелік </w:t>
      </w:r>
      <w:proofErr w:type="spellStart"/>
      <w:r w:rsidRPr="005F1972">
        <w:rPr>
          <w:rFonts w:ascii="Bookman Old Style" w:hAnsi="Bookman Old Style"/>
          <w:sz w:val="28"/>
          <w:szCs w:val="28"/>
          <w:lang w:val="uk-UA"/>
        </w:rPr>
        <w:t>суб</w:t>
      </w:r>
      <w:r w:rsidRPr="005F1972">
        <w:rPr>
          <w:sz w:val="28"/>
          <w:szCs w:val="28"/>
          <w:lang w:val="uk-UA"/>
        </w:rPr>
        <w:t>ʼ</w:t>
      </w:r>
      <w:r w:rsidRPr="005F1972">
        <w:rPr>
          <w:rFonts w:ascii="Bookman Old Style" w:hAnsi="Bookman Old Style" w:cs="Bookman Old Style"/>
          <w:sz w:val="28"/>
          <w:szCs w:val="28"/>
          <w:lang w:val="uk-UA"/>
        </w:rPr>
        <w:t>єктів</w:t>
      </w:r>
      <w:proofErr w:type="spellEnd"/>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які</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їх</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можуть</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створювати</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Зокрема</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передбачено</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можливість</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створення</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атестаційних</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комісій</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 приватними</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закладами</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освіти</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та</w:t>
      </w:r>
      <w:r w:rsidRPr="005F1972">
        <w:rPr>
          <w:rFonts w:ascii="Bookman Old Style" w:hAnsi="Bookman Old Style"/>
          <w:sz w:val="28"/>
          <w:szCs w:val="28"/>
          <w:lang w:val="uk-UA"/>
        </w:rPr>
        <w:t>/</w:t>
      </w:r>
      <w:r w:rsidRPr="005F1972">
        <w:rPr>
          <w:rFonts w:ascii="Bookman Old Style" w:hAnsi="Bookman Old Style" w:cs="Bookman Old Style"/>
          <w:sz w:val="28"/>
          <w:szCs w:val="28"/>
          <w:lang w:val="uk-UA"/>
        </w:rPr>
        <w:t>або</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їхніми</w:t>
      </w:r>
      <w:r w:rsidRPr="005F1972">
        <w:rPr>
          <w:rFonts w:ascii="Bookman Old Style" w:hAnsi="Bookman Old Style"/>
          <w:sz w:val="28"/>
          <w:szCs w:val="28"/>
          <w:lang w:val="uk-UA"/>
        </w:rPr>
        <w:t xml:space="preserve"> </w:t>
      </w:r>
      <w:r w:rsidRPr="005F1972">
        <w:rPr>
          <w:rFonts w:ascii="Bookman Old Style" w:hAnsi="Bookman Old Style" w:cs="Bookman Old Style"/>
          <w:sz w:val="28"/>
          <w:szCs w:val="28"/>
          <w:lang w:val="uk-UA"/>
        </w:rPr>
        <w:t>засновниками</w:t>
      </w:r>
      <w:r w:rsidRPr="005F1972">
        <w:rPr>
          <w:rFonts w:ascii="Bookman Old Style" w:hAnsi="Bookman Old Style"/>
          <w:sz w:val="28"/>
          <w:szCs w:val="28"/>
          <w:lang w:val="uk-UA"/>
        </w:rPr>
        <w:t>.</w:t>
      </w:r>
    </w:p>
    <w:p w14:paraId="783E952A"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Урегульовано присвоєння педагогічних звань «старший викладач», «старший учитель» і «старший вихователь». Їх присвоюють педагогам, яким за результатами попередньої атестації присвоєно (підтверджено) кваліфікаційну категорію не нижче ніж «спеціаліст другої категорії» (або встановлений відповідний тарифний розряд) та стаж роботи яких понад 3 роки.</w:t>
      </w:r>
    </w:p>
    <w:p w14:paraId="13ED6C50"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lastRenderedPageBreak/>
        <w:t>Також унормовано присвоєння таких педагогічних звань: «викладач-методист», «учитель-методист», «вихователь-методист», «педагог-організатор-методист», «практичний психолог — методист», «керівник гуртка — методист», «старший вожатий — методист». Їх присвоюють педагогам, які працюють на відповідних посадах та які за результатами попередньої атестації мають кваліфікаційну категорію не нижче ніж «спеціаліст вищої категорії» (або встановлено відповідний тарифний розряд), вищу освіту та стаж роботи понад 5 років.</w:t>
      </w:r>
    </w:p>
    <w:p w14:paraId="1660FCE0"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 xml:space="preserve">Не тільки проходження курсів професійного розвитку, а й здобуття освіти в закладі вищої, фахової </w:t>
      </w:r>
      <w:proofErr w:type="spellStart"/>
      <w:r w:rsidRPr="005F1972">
        <w:rPr>
          <w:rFonts w:ascii="Bookman Old Style" w:hAnsi="Bookman Old Style"/>
          <w:sz w:val="28"/>
          <w:szCs w:val="28"/>
          <w:lang w:val="uk-UA"/>
        </w:rPr>
        <w:t>передвищої</w:t>
      </w:r>
      <w:proofErr w:type="spellEnd"/>
      <w:r w:rsidRPr="005F1972">
        <w:rPr>
          <w:rFonts w:ascii="Bookman Old Style" w:hAnsi="Bookman Old Style"/>
          <w:sz w:val="28"/>
          <w:szCs w:val="28"/>
          <w:lang w:val="uk-UA"/>
        </w:rPr>
        <w:t xml:space="preserve"> освіти наступні 5 років зараховуватимуть як підвищення кваліфікації.</w:t>
      </w:r>
    </w:p>
    <w:p w14:paraId="21D1DF9D" w14:textId="77777777" w:rsidR="00B96519" w:rsidRPr="005F1972" w:rsidRDefault="00B96519" w:rsidP="005F1972">
      <w:pPr>
        <w:pStyle w:val="a3"/>
        <w:numPr>
          <w:ilvl w:val="0"/>
          <w:numId w:val="2"/>
        </w:numPr>
        <w:shd w:val="clear" w:color="auto" w:fill="FFFFFF"/>
        <w:tabs>
          <w:tab w:val="clear" w:pos="720"/>
          <w:tab w:val="num" w:pos="360"/>
        </w:tabs>
        <w:spacing w:before="0" w:beforeAutospacing="0" w:after="225" w:afterAutospacing="0" w:line="360" w:lineRule="auto"/>
        <w:ind w:left="0"/>
        <w:jc w:val="both"/>
        <w:textAlignment w:val="baseline"/>
        <w:rPr>
          <w:rFonts w:ascii="Bookman Old Style" w:hAnsi="Bookman Old Style"/>
          <w:sz w:val="28"/>
          <w:szCs w:val="28"/>
          <w:lang w:val="uk-UA"/>
        </w:rPr>
      </w:pPr>
      <w:r w:rsidRPr="005F1972">
        <w:rPr>
          <w:rFonts w:ascii="Bookman Old Style" w:hAnsi="Bookman Old Style"/>
          <w:sz w:val="28"/>
          <w:szCs w:val="28"/>
          <w:lang w:val="uk-UA"/>
        </w:rPr>
        <w:t>Урегульовано питання атестації педагогічних працівників, які мають навантаження з кількох навчальних предметів.</w:t>
      </w:r>
    </w:p>
    <w:p w14:paraId="0B7C5365" w14:textId="0E3A77B8" w:rsidR="005B047B" w:rsidRPr="005F1972" w:rsidRDefault="00B96519" w:rsidP="005F1972">
      <w:pPr>
        <w:spacing w:line="360" w:lineRule="auto"/>
        <w:ind w:firstLine="567"/>
        <w:jc w:val="both"/>
        <w:rPr>
          <w:rFonts w:ascii="Bookman Old Style" w:hAnsi="Bookman Old Style" w:cs="Times New Roman"/>
          <w:sz w:val="28"/>
          <w:szCs w:val="28"/>
          <w:lang w:val="uk-UA"/>
        </w:rPr>
      </w:pPr>
      <w:r w:rsidRPr="005F1972">
        <w:rPr>
          <w:rFonts w:ascii="Bookman Old Style" w:hAnsi="Bookman Old Style" w:cs="Times New Roman"/>
          <w:sz w:val="28"/>
          <w:szCs w:val="28"/>
          <w:lang w:val="uk-UA"/>
        </w:rPr>
        <w:t>Відтепер у разі викладання кількох навчальних предметів педагоги самостійно обирають послідовність підвищення кваліфікації в межах загального обс</w:t>
      </w:r>
      <w:r w:rsidR="00705D63" w:rsidRPr="005F1972">
        <w:rPr>
          <w:rFonts w:ascii="Bookman Old Style" w:hAnsi="Bookman Old Style" w:cs="Times New Roman"/>
          <w:sz w:val="28"/>
          <w:szCs w:val="28"/>
          <w:lang w:val="uk-UA"/>
        </w:rPr>
        <w:t>ягу підвищення кваліфікації (120</w:t>
      </w:r>
      <w:r w:rsidRPr="005F1972">
        <w:rPr>
          <w:rFonts w:ascii="Bookman Old Style" w:hAnsi="Bookman Old Style" w:cs="Times New Roman"/>
          <w:sz w:val="28"/>
          <w:szCs w:val="28"/>
          <w:lang w:val="uk-UA"/>
        </w:rPr>
        <w:t xml:space="preserve"> годин</w:t>
      </w:r>
      <w:r w:rsidR="00705D63" w:rsidRPr="005F1972">
        <w:rPr>
          <w:rFonts w:ascii="Bookman Old Style" w:hAnsi="Bookman Old Style" w:cs="Times New Roman"/>
          <w:sz w:val="28"/>
          <w:szCs w:val="28"/>
          <w:lang w:val="uk-UA"/>
        </w:rPr>
        <w:t>)</w:t>
      </w:r>
      <w:r w:rsidR="005F1972">
        <w:rPr>
          <w:rFonts w:ascii="Bookman Old Style" w:hAnsi="Bookman Old Style" w:cs="Times New Roman"/>
          <w:sz w:val="28"/>
          <w:szCs w:val="28"/>
          <w:lang w:val="uk-UA"/>
        </w:rPr>
        <w:t>.</w:t>
      </w:r>
    </w:p>
    <w:sectPr w:rsidR="005B047B" w:rsidRPr="005F197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5pt;height:11.35pt" o:bullet="t">
        <v:imagedata r:id="rId1" o:title="mso56E4"/>
      </v:shape>
    </w:pict>
  </w:numPicBullet>
  <w:abstractNum w:abstractNumId="0" w15:restartNumberingAfterBreak="0">
    <w:nsid w:val="3FC11F62"/>
    <w:multiLevelType w:val="multilevel"/>
    <w:tmpl w:val="6776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2A364A"/>
    <w:multiLevelType w:val="multilevel"/>
    <w:tmpl w:val="5A7A60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029790">
    <w:abstractNumId w:val="0"/>
  </w:num>
  <w:num w:numId="2" w16cid:durableId="2030791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1A"/>
    <w:rsid w:val="00015DFA"/>
    <w:rsid w:val="002D5A5D"/>
    <w:rsid w:val="0052421A"/>
    <w:rsid w:val="005B047B"/>
    <w:rsid w:val="005F1972"/>
    <w:rsid w:val="00705D63"/>
    <w:rsid w:val="00AA3C05"/>
    <w:rsid w:val="00B96519"/>
    <w:rsid w:val="00D37082"/>
    <w:rsid w:val="00E3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425E"/>
  <w15:docId w15:val="{C24C66F5-259E-4ED7-9C8E-7175FA98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519"/>
    <w:pPr>
      <w:spacing w:after="0" w:line="240" w:lineRule="auto"/>
    </w:pPr>
    <w:rPr>
      <w:rFonts w:ascii="Tahoma" w:eastAsia="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519"/>
    <w:pPr>
      <w:spacing w:before="100" w:beforeAutospacing="1" w:after="100" w:afterAutospacing="1"/>
    </w:pPr>
    <w:rPr>
      <w:rFonts w:ascii="Times New Roman" w:eastAsiaTheme="minorEastAsia" w:hAnsi="Times New Roman" w:cs="Times New Roman"/>
    </w:rPr>
  </w:style>
  <w:style w:type="character" w:styleId="a4">
    <w:name w:val="Hyperlink"/>
    <w:basedOn w:val="a0"/>
    <w:semiHidden/>
    <w:unhideWhenUsed/>
    <w:rsid w:val="00B96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n.gov.ua/npa/pro-vnesennia-zmin-do-polozhennia-pro-atestatsiiu-pedahohichnykh-pratsivnykiv-zareiestrovanyi-v-ministerstvi-iustytsii-ukrainy-30-zhovtnia-2024-roku-za-163442979"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1560</Words>
  <Characters>890</Characters>
  <Application>Microsoft Office Word</Application>
  <DocSecurity>0</DocSecurity>
  <Lines>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МЕТОДИСТ</cp:lastModifiedBy>
  <cp:revision>3</cp:revision>
  <dcterms:created xsi:type="dcterms:W3CDTF">2025-02-05T19:44:00Z</dcterms:created>
  <dcterms:modified xsi:type="dcterms:W3CDTF">2025-02-05T19:46:00Z</dcterms:modified>
</cp:coreProperties>
</file>