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32F" w:rsidRDefault="0077332F" w:rsidP="0077332F">
      <w:pPr>
        <w:spacing w:after="0"/>
        <w:ind w:left="6096"/>
        <w:rPr>
          <w:rFonts w:ascii="Times New Roman" w:eastAsia="Times New Roman" w:hAnsi="Times New Roman" w:cs="Times New Roman"/>
          <w:sz w:val="24"/>
          <w:szCs w:val="24"/>
          <w:lang w:val="uk-UA" w:eastAsia="ru-RU"/>
        </w:rPr>
      </w:pPr>
    </w:p>
    <w:p w:rsidR="0077332F" w:rsidRPr="00040BBB" w:rsidRDefault="00C47819" w:rsidP="0077332F">
      <w:pPr>
        <w:spacing w:after="0"/>
        <w:ind w:left="60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Д</w:t>
      </w:r>
      <w:r w:rsidR="0077332F" w:rsidRPr="00040BBB">
        <w:rPr>
          <w:rFonts w:ascii="Times New Roman" w:eastAsia="Times New Roman" w:hAnsi="Times New Roman" w:cs="Times New Roman"/>
          <w:sz w:val="24"/>
          <w:szCs w:val="24"/>
          <w:lang w:eastAsia="ru-RU"/>
        </w:rPr>
        <w:t>одаток 1</w:t>
      </w:r>
    </w:p>
    <w:p w:rsidR="0077332F" w:rsidRPr="00040BBB" w:rsidRDefault="0077332F" w:rsidP="0077332F">
      <w:pPr>
        <w:spacing w:after="0"/>
        <w:ind w:left="6096" w:right="-568"/>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 xml:space="preserve">до наказу </w:t>
      </w:r>
      <w:r w:rsidRPr="00040BBB">
        <w:rPr>
          <w:rFonts w:ascii="Times New Roman" w:eastAsia="Times New Roman" w:hAnsi="Times New Roman" w:cs="Times New Roman"/>
          <w:sz w:val="24"/>
          <w:szCs w:val="24"/>
          <w:lang w:val="uk-UA" w:eastAsia="ru-RU"/>
        </w:rPr>
        <w:t>Х</w:t>
      </w:r>
      <w:r w:rsidRPr="00040BBB">
        <w:rPr>
          <w:rFonts w:ascii="Times New Roman" w:eastAsia="Times New Roman" w:hAnsi="Times New Roman" w:cs="Times New Roman"/>
          <w:sz w:val="24"/>
          <w:szCs w:val="24"/>
          <w:lang w:eastAsia="ru-RU"/>
        </w:rPr>
        <w:t>ЗДО</w:t>
      </w:r>
      <w:r w:rsidRPr="00040BBB">
        <w:rPr>
          <w:rFonts w:ascii="Times New Roman" w:eastAsia="Times New Roman" w:hAnsi="Times New Roman" w:cs="Times New Roman"/>
          <w:sz w:val="24"/>
          <w:szCs w:val="24"/>
          <w:lang w:val="uk-UA" w:eastAsia="ru-RU"/>
        </w:rPr>
        <w:t xml:space="preserve"> №26 </w:t>
      </w:r>
      <w:r w:rsidRPr="00040BBB">
        <w:rPr>
          <w:rFonts w:ascii="Times New Roman" w:eastAsia="Times New Roman" w:hAnsi="Times New Roman" w:cs="Times New Roman"/>
          <w:sz w:val="24"/>
          <w:szCs w:val="24"/>
          <w:lang w:eastAsia="ru-RU"/>
        </w:rPr>
        <w:t>«</w:t>
      </w:r>
      <w:r w:rsidRPr="00040BBB">
        <w:rPr>
          <w:rFonts w:ascii="Times New Roman" w:eastAsia="Times New Roman" w:hAnsi="Times New Roman" w:cs="Times New Roman"/>
          <w:sz w:val="24"/>
          <w:szCs w:val="24"/>
          <w:lang w:val="uk-UA" w:eastAsia="ru-RU"/>
        </w:rPr>
        <w:t>Кульбабка</w:t>
      </w:r>
      <w:r w:rsidRPr="00040BBB">
        <w:rPr>
          <w:rFonts w:ascii="Times New Roman" w:eastAsia="Times New Roman" w:hAnsi="Times New Roman" w:cs="Times New Roman"/>
          <w:sz w:val="24"/>
          <w:szCs w:val="24"/>
          <w:lang w:eastAsia="ru-RU"/>
        </w:rPr>
        <w:t>»</w:t>
      </w:r>
    </w:p>
    <w:p w:rsidR="0077332F" w:rsidRPr="00040BBB" w:rsidRDefault="0077332F" w:rsidP="0077332F">
      <w:pPr>
        <w:spacing w:after="0"/>
        <w:ind w:left="6096"/>
        <w:rPr>
          <w:rFonts w:ascii="Times New Roman" w:eastAsia="Times New Roman" w:hAnsi="Times New Roman" w:cs="Times New Roman"/>
          <w:sz w:val="24"/>
          <w:szCs w:val="24"/>
          <w:lang w:val="uk-UA" w:eastAsia="ru-RU"/>
        </w:rPr>
      </w:pPr>
      <w:r w:rsidRPr="00040BBB">
        <w:rPr>
          <w:rFonts w:ascii="Times New Roman" w:eastAsia="Times New Roman" w:hAnsi="Times New Roman" w:cs="Times New Roman"/>
          <w:sz w:val="24"/>
          <w:szCs w:val="24"/>
          <w:lang w:eastAsia="ru-RU"/>
        </w:rPr>
        <w:t xml:space="preserve">від </w:t>
      </w:r>
      <w:r w:rsidRPr="00040BBB">
        <w:rPr>
          <w:rFonts w:ascii="Times New Roman" w:eastAsia="Times New Roman" w:hAnsi="Times New Roman" w:cs="Times New Roman"/>
          <w:sz w:val="24"/>
          <w:szCs w:val="24"/>
          <w:lang w:val="uk-UA" w:eastAsia="ru-RU"/>
        </w:rPr>
        <w:t>05.01.202</w:t>
      </w:r>
      <w:r w:rsidR="00790E13">
        <w:rPr>
          <w:rFonts w:ascii="Times New Roman" w:eastAsia="Times New Roman" w:hAnsi="Times New Roman" w:cs="Times New Roman"/>
          <w:sz w:val="24"/>
          <w:szCs w:val="24"/>
          <w:lang w:val="uk-UA" w:eastAsia="ru-RU"/>
        </w:rPr>
        <w:t>4</w:t>
      </w:r>
      <w:r w:rsidRPr="00040BBB">
        <w:rPr>
          <w:rFonts w:ascii="Times New Roman" w:eastAsia="Times New Roman" w:hAnsi="Times New Roman" w:cs="Times New Roman"/>
          <w:sz w:val="24"/>
          <w:szCs w:val="24"/>
          <w:lang w:eastAsia="ru-RU"/>
        </w:rPr>
        <w:t xml:space="preserve"> № </w:t>
      </w:r>
      <w:r w:rsidRPr="00040BBB">
        <w:rPr>
          <w:rFonts w:ascii="Times New Roman" w:eastAsia="Times New Roman" w:hAnsi="Times New Roman" w:cs="Times New Roman"/>
          <w:sz w:val="24"/>
          <w:szCs w:val="24"/>
          <w:lang w:val="uk-UA" w:eastAsia="ru-RU"/>
        </w:rPr>
        <w:t xml:space="preserve"> </w:t>
      </w:r>
    </w:p>
    <w:p w:rsidR="0077332F" w:rsidRPr="00040BBB" w:rsidRDefault="0077332F" w:rsidP="0077332F">
      <w:pPr>
        <w:spacing w:after="0"/>
        <w:jc w:val="center"/>
        <w:outlineLvl w:val="0"/>
        <w:rPr>
          <w:rFonts w:ascii="Times New Roman" w:eastAsia="Times New Roman" w:hAnsi="Times New Roman" w:cs="Times New Roman"/>
          <w:caps/>
          <w:kern w:val="36"/>
          <w:sz w:val="24"/>
          <w:szCs w:val="24"/>
          <w:lang w:eastAsia="ru-RU"/>
        </w:rPr>
      </w:pPr>
      <w:r w:rsidRPr="00040BBB">
        <w:rPr>
          <w:rFonts w:ascii="Times New Roman" w:eastAsia="Times New Roman" w:hAnsi="Times New Roman" w:cs="Times New Roman"/>
          <w:b/>
          <w:bCs/>
          <w:caps/>
          <w:kern w:val="36"/>
          <w:sz w:val="24"/>
          <w:szCs w:val="24"/>
          <w:lang w:eastAsia="ru-RU"/>
        </w:rPr>
        <w:t>ПЛАН ЗАХОДІВ</w:t>
      </w:r>
    </w:p>
    <w:p w:rsidR="0077332F" w:rsidRPr="00040BBB" w:rsidRDefault="0077332F" w:rsidP="0077332F">
      <w:pPr>
        <w:spacing w:after="0"/>
        <w:jc w:val="center"/>
        <w:outlineLvl w:val="0"/>
        <w:rPr>
          <w:rFonts w:ascii="Times New Roman" w:eastAsia="Times New Roman" w:hAnsi="Times New Roman" w:cs="Times New Roman"/>
          <w:b/>
          <w:bCs/>
          <w:caps/>
          <w:kern w:val="36"/>
          <w:sz w:val="24"/>
          <w:szCs w:val="24"/>
          <w:lang w:val="uk-UA" w:eastAsia="ru-RU"/>
        </w:rPr>
      </w:pPr>
      <w:r w:rsidRPr="00040BBB">
        <w:rPr>
          <w:rFonts w:ascii="Times New Roman" w:eastAsia="Times New Roman" w:hAnsi="Times New Roman" w:cs="Times New Roman"/>
          <w:b/>
          <w:bCs/>
          <w:caps/>
          <w:kern w:val="36"/>
          <w:sz w:val="24"/>
          <w:szCs w:val="24"/>
          <w:lang w:eastAsia="ru-RU"/>
        </w:rPr>
        <w:t xml:space="preserve">ЩОДО ЗАПОБІГАННЯ </w:t>
      </w:r>
      <w:r w:rsidRPr="00040BBB">
        <w:rPr>
          <w:rFonts w:ascii="Times New Roman" w:eastAsia="Times New Roman" w:hAnsi="Times New Roman" w:cs="Times New Roman"/>
          <w:b/>
          <w:bCs/>
          <w:caps/>
          <w:kern w:val="36"/>
          <w:sz w:val="24"/>
          <w:szCs w:val="24"/>
          <w:lang w:val="uk-UA" w:eastAsia="ru-RU"/>
        </w:rPr>
        <w:t xml:space="preserve">та протидію </w:t>
      </w:r>
      <w:r w:rsidRPr="00040BBB">
        <w:rPr>
          <w:rFonts w:ascii="Times New Roman" w:eastAsia="Times New Roman" w:hAnsi="Times New Roman" w:cs="Times New Roman"/>
          <w:b/>
          <w:bCs/>
          <w:caps/>
          <w:kern w:val="36"/>
          <w:sz w:val="24"/>
          <w:szCs w:val="24"/>
          <w:lang w:eastAsia="ru-RU"/>
        </w:rPr>
        <w:t xml:space="preserve">БУЛІНГУ В </w:t>
      </w:r>
      <w:r w:rsidRPr="00040BBB">
        <w:rPr>
          <w:rFonts w:ascii="Times New Roman" w:eastAsia="Times New Roman" w:hAnsi="Times New Roman" w:cs="Times New Roman"/>
          <w:b/>
          <w:bCs/>
          <w:caps/>
          <w:kern w:val="36"/>
          <w:sz w:val="24"/>
          <w:szCs w:val="24"/>
          <w:lang w:val="uk-UA" w:eastAsia="ru-RU"/>
        </w:rPr>
        <w:t>Х</w:t>
      </w:r>
      <w:r w:rsidRPr="00040BBB">
        <w:rPr>
          <w:rFonts w:ascii="Times New Roman" w:eastAsia="Times New Roman" w:hAnsi="Times New Roman" w:cs="Times New Roman"/>
          <w:b/>
          <w:bCs/>
          <w:caps/>
          <w:kern w:val="36"/>
          <w:sz w:val="24"/>
          <w:szCs w:val="24"/>
          <w:lang w:eastAsia="ru-RU"/>
        </w:rPr>
        <w:t xml:space="preserve">ЗДО </w:t>
      </w:r>
      <w:r w:rsidRPr="00040BBB">
        <w:rPr>
          <w:rFonts w:ascii="Times New Roman" w:eastAsia="Times New Roman" w:hAnsi="Times New Roman" w:cs="Times New Roman"/>
          <w:b/>
          <w:bCs/>
          <w:caps/>
          <w:kern w:val="36"/>
          <w:sz w:val="24"/>
          <w:szCs w:val="24"/>
          <w:lang w:val="uk-UA" w:eastAsia="ru-RU"/>
        </w:rPr>
        <w:t xml:space="preserve"> №26 </w:t>
      </w:r>
      <w:r w:rsidRPr="00040BBB">
        <w:rPr>
          <w:rFonts w:ascii="Times New Roman" w:eastAsia="Times New Roman" w:hAnsi="Times New Roman" w:cs="Times New Roman"/>
          <w:b/>
          <w:bCs/>
          <w:caps/>
          <w:kern w:val="36"/>
          <w:sz w:val="24"/>
          <w:szCs w:val="24"/>
          <w:lang w:eastAsia="ru-RU"/>
        </w:rPr>
        <w:t>«</w:t>
      </w:r>
      <w:r w:rsidRPr="00040BBB">
        <w:rPr>
          <w:rFonts w:ascii="Times New Roman" w:eastAsia="Times New Roman" w:hAnsi="Times New Roman" w:cs="Times New Roman"/>
          <w:b/>
          <w:bCs/>
          <w:caps/>
          <w:kern w:val="36"/>
          <w:sz w:val="24"/>
          <w:szCs w:val="24"/>
          <w:lang w:val="uk-UA" w:eastAsia="ru-RU"/>
        </w:rPr>
        <w:t>кульбабка</w:t>
      </w:r>
      <w:r w:rsidRPr="00040BBB">
        <w:rPr>
          <w:rFonts w:ascii="Times New Roman" w:eastAsia="Times New Roman" w:hAnsi="Times New Roman" w:cs="Times New Roman"/>
          <w:b/>
          <w:bCs/>
          <w:caps/>
          <w:kern w:val="36"/>
          <w:sz w:val="24"/>
          <w:szCs w:val="24"/>
          <w:lang w:eastAsia="ru-RU"/>
        </w:rPr>
        <w:t xml:space="preserve">» </w:t>
      </w:r>
    </w:p>
    <w:p w:rsidR="0077332F" w:rsidRPr="00040BBB" w:rsidRDefault="0077332F" w:rsidP="0077332F">
      <w:pPr>
        <w:spacing w:after="0"/>
        <w:jc w:val="center"/>
        <w:outlineLvl w:val="0"/>
        <w:rPr>
          <w:rFonts w:ascii="Times New Roman" w:eastAsia="Times New Roman" w:hAnsi="Times New Roman" w:cs="Times New Roman"/>
          <w:b/>
          <w:bCs/>
          <w:caps/>
          <w:kern w:val="36"/>
          <w:sz w:val="24"/>
          <w:szCs w:val="24"/>
          <w:lang w:val="uk-UA" w:eastAsia="ru-RU"/>
        </w:rPr>
      </w:pPr>
      <w:r w:rsidRPr="00040BBB">
        <w:rPr>
          <w:rFonts w:ascii="Times New Roman" w:eastAsia="Times New Roman" w:hAnsi="Times New Roman" w:cs="Times New Roman"/>
          <w:b/>
          <w:bCs/>
          <w:caps/>
          <w:kern w:val="36"/>
          <w:sz w:val="24"/>
          <w:szCs w:val="24"/>
          <w:lang w:eastAsia="ru-RU"/>
        </w:rPr>
        <w:t xml:space="preserve">НА </w:t>
      </w:r>
      <w:r w:rsidRPr="00040BBB">
        <w:rPr>
          <w:rFonts w:ascii="Times New Roman" w:eastAsia="Times New Roman" w:hAnsi="Times New Roman" w:cs="Times New Roman"/>
          <w:b/>
          <w:bCs/>
          <w:caps/>
          <w:kern w:val="36"/>
          <w:sz w:val="24"/>
          <w:szCs w:val="24"/>
          <w:lang w:val="uk-UA" w:eastAsia="ru-RU"/>
        </w:rPr>
        <w:t xml:space="preserve">період </w:t>
      </w:r>
      <w:r w:rsidRPr="00040BBB">
        <w:rPr>
          <w:rFonts w:ascii="Times New Roman" w:eastAsia="Times New Roman" w:hAnsi="Times New Roman" w:cs="Times New Roman"/>
          <w:b/>
          <w:bCs/>
          <w:caps/>
          <w:kern w:val="36"/>
          <w:sz w:val="24"/>
          <w:szCs w:val="24"/>
          <w:lang w:eastAsia="ru-RU"/>
        </w:rPr>
        <w:t>2023</w:t>
      </w:r>
      <w:r w:rsidRPr="00040BBB">
        <w:rPr>
          <w:rFonts w:ascii="Times New Roman" w:eastAsia="Times New Roman" w:hAnsi="Times New Roman" w:cs="Times New Roman"/>
          <w:b/>
          <w:bCs/>
          <w:caps/>
          <w:kern w:val="36"/>
          <w:sz w:val="24"/>
          <w:szCs w:val="24"/>
          <w:lang w:val="uk-UA" w:eastAsia="ru-RU"/>
        </w:rPr>
        <w:t>/</w:t>
      </w:r>
      <w:r w:rsidRPr="00040BBB">
        <w:rPr>
          <w:rFonts w:ascii="Times New Roman" w:eastAsia="Times New Roman" w:hAnsi="Times New Roman" w:cs="Times New Roman"/>
          <w:b/>
          <w:bCs/>
          <w:caps/>
          <w:kern w:val="36"/>
          <w:sz w:val="24"/>
          <w:szCs w:val="24"/>
          <w:lang w:eastAsia="ru-RU"/>
        </w:rPr>
        <w:t xml:space="preserve">2024 </w:t>
      </w:r>
      <w:r w:rsidRPr="00040BBB">
        <w:rPr>
          <w:rFonts w:ascii="Times New Roman" w:eastAsia="Times New Roman" w:hAnsi="Times New Roman" w:cs="Times New Roman"/>
          <w:b/>
          <w:bCs/>
          <w:caps/>
          <w:kern w:val="36"/>
          <w:sz w:val="24"/>
          <w:szCs w:val="24"/>
          <w:lang w:val="uk-UA" w:eastAsia="ru-RU"/>
        </w:rPr>
        <w:t>навчального року</w:t>
      </w:r>
    </w:p>
    <w:p w:rsidR="0077332F" w:rsidRPr="00040BBB" w:rsidRDefault="0077332F" w:rsidP="0077332F">
      <w:pPr>
        <w:spacing w:after="0"/>
        <w:jc w:val="center"/>
        <w:outlineLvl w:val="0"/>
        <w:rPr>
          <w:rFonts w:ascii="Times New Roman" w:eastAsia="Times New Roman" w:hAnsi="Times New Roman" w:cs="Times New Roman"/>
          <w:caps/>
          <w:kern w:val="36"/>
          <w:sz w:val="24"/>
          <w:szCs w:val="24"/>
          <w:lang w:val="uk-UA" w:eastAsia="ru-RU"/>
        </w:rPr>
      </w:pPr>
    </w:p>
    <w:tbl>
      <w:tblPr>
        <w:tblW w:w="9540" w:type="dxa"/>
        <w:tblBorders>
          <w:top w:val="single" w:sz="2" w:space="0" w:color="005494"/>
        </w:tblBorders>
        <w:shd w:val="clear" w:color="auto" w:fill="FFFFFF"/>
        <w:tblCellMar>
          <w:left w:w="0" w:type="dxa"/>
          <w:right w:w="0" w:type="dxa"/>
        </w:tblCellMar>
        <w:tblLook w:val="04A0" w:firstRow="1" w:lastRow="0" w:firstColumn="1" w:lastColumn="0" w:noHBand="0" w:noVBand="1"/>
      </w:tblPr>
      <w:tblGrid>
        <w:gridCol w:w="374"/>
        <w:gridCol w:w="5055"/>
        <w:gridCol w:w="1988"/>
        <w:gridCol w:w="2123"/>
      </w:tblGrid>
      <w:tr w:rsidR="0077332F" w:rsidRPr="00040BBB" w:rsidTr="00801EB8">
        <w:tc>
          <w:tcPr>
            <w:tcW w:w="0" w:type="auto"/>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 з/п</w:t>
            </w:r>
          </w:p>
        </w:tc>
        <w:tc>
          <w:tcPr>
            <w:tcW w:w="5055"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C47819">
            <w:pPr>
              <w:spacing w:after="0"/>
              <w:jc w:val="center"/>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Заходи</w:t>
            </w:r>
          </w:p>
        </w:tc>
        <w:tc>
          <w:tcPr>
            <w:tcW w:w="1988"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Default="0077332F" w:rsidP="00C47819">
            <w:pPr>
              <w:spacing w:after="0"/>
              <w:jc w:val="center"/>
              <w:rPr>
                <w:rFonts w:ascii="Times New Roman" w:eastAsia="Times New Roman" w:hAnsi="Times New Roman" w:cs="Times New Roman"/>
                <w:sz w:val="24"/>
                <w:szCs w:val="24"/>
                <w:lang w:val="uk-UA" w:eastAsia="ru-RU"/>
              </w:rPr>
            </w:pPr>
            <w:r w:rsidRPr="00040BBB">
              <w:rPr>
                <w:rFonts w:ascii="Times New Roman" w:eastAsia="Times New Roman" w:hAnsi="Times New Roman" w:cs="Times New Roman"/>
                <w:sz w:val="24"/>
                <w:szCs w:val="24"/>
                <w:lang w:eastAsia="ru-RU"/>
              </w:rPr>
              <w:t>Термін</w:t>
            </w:r>
          </w:p>
          <w:p w:rsidR="0077332F" w:rsidRPr="00040BBB" w:rsidRDefault="0077332F" w:rsidP="00C47819">
            <w:pPr>
              <w:spacing w:after="0"/>
              <w:jc w:val="center"/>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виконання</w:t>
            </w:r>
          </w:p>
        </w:tc>
        <w:tc>
          <w:tcPr>
            <w:tcW w:w="2123"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C47819">
            <w:pPr>
              <w:spacing w:after="0"/>
              <w:jc w:val="center"/>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Відповідальні</w:t>
            </w:r>
          </w:p>
        </w:tc>
      </w:tr>
      <w:tr w:rsidR="0077332F" w:rsidRPr="00040BBB" w:rsidTr="00801EB8">
        <w:tc>
          <w:tcPr>
            <w:tcW w:w="0" w:type="auto"/>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1</w:t>
            </w:r>
          </w:p>
        </w:tc>
        <w:tc>
          <w:tcPr>
            <w:tcW w:w="5055"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 xml:space="preserve">Видати Наказ </w:t>
            </w:r>
            <w:r w:rsidRPr="00040BBB">
              <w:rPr>
                <w:rFonts w:ascii="Times New Roman" w:eastAsia="Times New Roman" w:hAnsi="Times New Roman" w:cs="Times New Roman"/>
                <w:sz w:val="24"/>
                <w:szCs w:val="24"/>
                <w:lang w:val="uk-UA" w:eastAsia="ru-RU"/>
              </w:rPr>
              <w:t>Х</w:t>
            </w:r>
            <w:r w:rsidRPr="00040BBB">
              <w:rPr>
                <w:rFonts w:ascii="Times New Roman" w:eastAsia="Times New Roman" w:hAnsi="Times New Roman" w:cs="Times New Roman"/>
                <w:sz w:val="24"/>
                <w:szCs w:val="24"/>
                <w:lang w:eastAsia="ru-RU"/>
              </w:rPr>
              <w:t xml:space="preserve">ЗДО </w:t>
            </w:r>
            <w:r w:rsidRPr="00040BBB">
              <w:rPr>
                <w:rFonts w:ascii="Times New Roman" w:eastAsia="Times New Roman" w:hAnsi="Times New Roman" w:cs="Times New Roman"/>
                <w:sz w:val="24"/>
                <w:szCs w:val="24"/>
                <w:lang w:val="uk-UA" w:eastAsia="ru-RU"/>
              </w:rPr>
              <w:t xml:space="preserve">№ 26 «Кульбабка» </w:t>
            </w:r>
            <w:r w:rsidRPr="00040BBB">
              <w:rPr>
                <w:rFonts w:ascii="Times New Roman" w:eastAsia="Times New Roman" w:hAnsi="Times New Roman" w:cs="Times New Roman"/>
                <w:sz w:val="24"/>
                <w:szCs w:val="24"/>
                <w:lang w:eastAsia="ru-RU"/>
              </w:rPr>
              <w:t>«Про запобігання</w:t>
            </w:r>
            <w:r w:rsidRPr="00040BBB">
              <w:rPr>
                <w:rFonts w:ascii="Times New Roman" w:eastAsia="Times New Roman" w:hAnsi="Times New Roman" w:cs="Times New Roman"/>
                <w:sz w:val="24"/>
                <w:szCs w:val="24"/>
                <w:lang w:val="uk-UA" w:eastAsia="ru-RU"/>
              </w:rPr>
              <w:t xml:space="preserve"> та протидію</w:t>
            </w:r>
            <w:r w:rsidRPr="00040BBB">
              <w:rPr>
                <w:rFonts w:ascii="Times New Roman" w:eastAsia="Times New Roman" w:hAnsi="Times New Roman" w:cs="Times New Roman"/>
                <w:sz w:val="24"/>
                <w:szCs w:val="24"/>
                <w:lang w:eastAsia="ru-RU"/>
              </w:rPr>
              <w:t xml:space="preserve"> булінгу в </w:t>
            </w:r>
            <w:r w:rsidRPr="00040BBB">
              <w:rPr>
                <w:rFonts w:ascii="Times New Roman" w:eastAsia="Times New Roman" w:hAnsi="Times New Roman" w:cs="Times New Roman"/>
                <w:sz w:val="24"/>
                <w:szCs w:val="24"/>
                <w:lang w:val="uk-UA" w:eastAsia="ru-RU"/>
              </w:rPr>
              <w:t>Х</w:t>
            </w:r>
            <w:r w:rsidRPr="00040BBB">
              <w:rPr>
                <w:rFonts w:ascii="Times New Roman" w:eastAsia="Times New Roman" w:hAnsi="Times New Roman" w:cs="Times New Roman"/>
                <w:sz w:val="24"/>
                <w:szCs w:val="24"/>
                <w:lang w:eastAsia="ru-RU"/>
              </w:rPr>
              <w:t>ЗДО</w:t>
            </w:r>
            <w:r w:rsidRPr="00040BBB">
              <w:rPr>
                <w:rFonts w:ascii="Times New Roman" w:eastAsia="Times New Roman" w:hAnsi="Times New Roman" w:cs="Times New Roman"/>
                <w:sz w:val="24"/>
                <w:szCs w:val="24"/>
                <w:lang w:val="uk-UA" w:eastAsia="ru-RU"/>
              </w:rPr>
              <w:t xml:space="preserve"> №26 «Кульбабка</w:t>
            </w:r>
            <w:r w:rsidRPr="00040BBB">
              <w:rPr>
                <w:rFonts w:ascii="Times New Roman" w:eastAsia="Times New Roman" w:hAnsi="Times New Roman" w:cs="Times New Roman"/>
                <w:sz w:val="24"/>
                <w:szCs w:val="24"/>
                <w:lang w:eastAsia="ru-RU"/>
              </w:rPr>
              <w:t>»</w:t>
            </w:r>
          </w:p>
        </w:tc>
        <w:tc>
          <w:tcPr>
            <w:tcW w:w="1988"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val="uk-UA" w:eastAsia="ru-RU"/>
              </w:rPr>
            </w:pPr>
            <w:r w:rsidRPr="00040BBB">
              <w:rPr>
                <w:rFonts w:ascii="Times New Roman" w:eastAsia="Times New Roman" w:hAnsi="Times New Roman" w:cs="Times New Roman"/>
                <w:sz w:val="24"/>
                <w:szCs w:val="24"/>
                <w:lang w:eastAsia="ru-RU"/>
              </w:rPr>
              <w:t xml:space="preserve">До </w:t>
            </w:r>
            <w:r w:rsidRPr="00040BBB">
              <w:rPr>
                <w:rFonts w:ascii="Times New Roman" w:eastAsia="Times New Roman" w:hAnsi="Times New Roman" w:cs="Times New Roman"/>
                <w:sz w:val="24"/>
                <w:szCs w:val="24"/>
                <w:lang w:val="uk-UA" w:eastAsia="ru-RU"/>
              </w:rPr>
              <w:t>10.01.2024</w:t>
            </w:r>
          </w:p>
        </w:tc>
        <w:tc>
          <w:tcPr>
            <w:tcW w:w="2123"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Директор</w:t>
            </w:r>
          </w:p>
        </w:tc>
      </w:tr>
      <w:tr w:rsidR="0077332F" w:rsidRPr="00040BBB" w:rsidTr="00801EB8">
        <w:tc>
          <w:tcPr>
            <w:tcW w:w="0" w:type="auto"/>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77332F" w:rsidRDefault="0077332F" w:rsidP="00801EB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5055"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textAlignment w:val="baseline"/>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 xml:space="preserve">Оновлення та опрацювання </w:t>
            </w:r>
            <w:r w:rsidRPr="00040BBB">
              <w:rPr>
                <w:rFonts w:ascii="Times New Roman" w:eastAsia="Times New Roman" w:hAnsi="Times New Roman" w:cs="Times New Roman"/>
                <w:sz w:val="24"/>
                <w:szCs w:val="24"/>
                <w:bdr w:val="none" w:sz="0" w:space="0" w:color="auto" w:frame="1"/>
                <w:lang w:val="uk-UA" w:eastAsia="ru-RU"/>
              </w:rPr>
              <w:t>нормативно-правової бази та регулюючих документів щодо превенції проблеми насилля в освітньому середовищі</w:t>
            </w:r>
          </w:p>
        </w:tc>
        <w:tc>
          <w:tcPr>
            <w:tcW w:w="1988"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Постійно</w:t>
            </w:r>
          </w:p>
        </w:tc>
        <w:tc>
          <w:tcPr>
            <w:tcW w:w="2123"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Default="0077332F" w:rsidP="00801EB8">
            <w:pPr>
              <w:spacing w:after="0"/>
              <w:rPr>
                <w:rFonts w:ascii="Times New Roman" w:eastAsia="Times New Roman" w:hAnsi="Times New Roman" w:cs="Times New Roman"/>
                <w:sz w:val="24"/>
                <w:szCs w:val="24"/>
                <w:lang w:val="uk-UA" w:eastAsia="ru-RU"/>
              </w:rPr>
            </w:pPr>
            <w:r w:rsidRPr="00040BBB">
              <w:rPr>
                <w:rFonts w:ascii="Times New Roman" w:eastAsia="Times New Roman" w:hAnsi="Times New Roman" w:cs="Times New Roman"/>
                <w:sz w:val="24"/>
                <w:szCs w:val="24"/>
                <w:lang w:eastAsia="ru-RU"/>
              </w:rPr>
              <w:t xml:space="preserve">Директор, </w:t>
            </w:r>
          </w:p>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вихователь-методист</w:t>
            </w:r>
          </w:p>
        </w:tc>
      </w:tr>
      <w:tr w:rsidR="0077332F" w:rsidRPr="00040BBB" w:rsidTr="00801EB8">
        <w:tc>
          <w:tcPr>
            <w:tcW w:w="0" w:type="auto"/>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77332F" w:rsidRDefault="0077332F" w:rsidP="00801EB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5055"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77332F" w:rsidRDefault="0077332F" w:rsidP="00801EB8">
            <w:pPr>
              <w:spacing w:after="0"/>
              <w:rPr>
                <w:rFonts w:ascii="Times New Roman" w:eastAsia="Times New Roman" w:hAnsi="Times New Roman" w:cs="Times New Roman"/>
                <w:sz w:val="24"/>
                <w:szCs w:val="24"/>
                <w:lang w:val="uk-UA" w:eastAsia="ru-RU"/>
              </w:rPr>
            </w:pPr>
            <w:r w:rsidRPr="00040BBB">
              <w:rPr>
                <w:rFonts w:ascii="Times New Roman" w:eastAsia="Times New Roman" w:hAnsi="Times New Roman" w:cs="Times New Roman"/>
                <w:sz w:val="24"/>
                <w:szCs w:val="24"/>
                <w:bdr w:val="none" w:sz="0" w:space="0" w:color="auto" w:frame="1"/>
                <w:lang w:val="uk-UA" w:eastAsia="ru-RU"/>
              </w:rPr>
              <w:t>Проведення зустрічей, круглих столів, семінарів, бесід та консультацій щодо ненасильницьких методів поведінки та виховання вирішення конфліктів, управління власними емоціями та подолання стресу</w:t>
            </w:r>
          </w:p>
        </w:tc>
        <w:tc>
          <w:tcPr>
            <w:tcW w:w="1988"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Постійно</w:t>
            </w:r>
          </w:p>
        </w:tc>
        <w:tc>
          <w:tcPr>
            <w:tcW w:w="2123"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Директор, вихователь-методист, вихователі, практичний психолог</w:t>
            </w:r>
          </w:p>
        </w:tc>
      </w:tr>
      <w:tr w:rsidR="0077332F" w:rsidRPr="00040BBB" w:rsidTr="00801EB8">
        <w:tc>
          <w:tcPr>
            <w:tcW w:w="0" w:type="auto"/>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77332F" w:rsidRDefault="0077332F" w:rsidP="00801EB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5055"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Своєчасно реагувати на прояви булінгу в різних його видах скоєних відносно учасників освітнього процесу (вихованців, працівників закладу)</w:t>
            </w:r>
          </w:p>
        </w:tc>
        <w:tc>
          <w:tcPr>
            <w:tcW w:w="1988"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Постійно</w:t>
            </w:r>
          </w:p>
        </w:tc>
        <w:tc>
          <w:tcPr>
            <w:tcW w:w="2123"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Директор, працівники закладу</w:t>
            </w:r>
          </w:p>
        </w:tc>
      </w:tr>
      <w:tr w:rsidR="0077332F" w:rsidRPr="00040BBB" w:rsidTr="00801EB8">
        <w:tc>
          <w:tcPr>
            <w:tcW w:w="0" w:type="auto"/>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77332F" w:rsidRDefault="0077332F" w:rsidP="00801EB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5055"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B44F63">
              <w:rPr>
                <w:rFonts w:ascii="Times New Roman" w:eastAsia="Times New Roman" w:hAnsi="Times New Roman" w:cs="Times New Roman"/>
                <w:sz w:val="24"/>
                <w:szCs w:val="24"/>
                <w:bdr w:val="none" w:sz="0" w:space="0" w:color="auto" w:frame="1"/>
                <w:lang w:val="uk-UA" w:eastAsia="ru-RU"/>
              </w:rPr>
              <w:t>Створення алгоритму реагування на випадки насильства серед вихованців: чіткий алгоритм можливих дії, відповідальності та компетенції педагога, представників адміністрації, практичного психолога</w:t>
            </w:r>
          </w:p>
        </w:tc>
        <w:tc>
          <w:tcPr>
            <w:tcW w:w="1988"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val="uk-UA" w:eastAsia="ru-RU"/>
              </w:rPr>
            </w:pPr>
            <w:r w:rsidRPr="00040BBB">
              <w:rPr>
                <w:rFonts w:ascii="Times New Roman" w:eastAsia="Times New Roman" w:hAnsi="Times New Roman" w:cs="Times New Roman"/>
                <w:sz w:val="24"/>
                <w:szCs w:val="24"/>
                <w:lang w:val="uk-UA" w:eastAsia="ru-RU"/>
              </w:rPr>
              <w:t>До 10.01.2024</w:t>
            </w:r>
          </w:p>
        </w:tc>
        <w:tc>
          <w:tcPr>
            <w:tcW w:w="2123"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Директор, вихователь-методист</w:t>
            </w:r>
          </w:p>
        </w:tc>
      </w:tr>
      <w:tr w:rsidR="0077332F" w:rsidRPr="00040BBB" w:rsidTr="00801EB8">
        <w:tc>
          <w:tcPr>
            <w:tcW w:w="0" w:type="auto"/>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6</w:t>
            </w:r>
          </w:p>
        </w:tc>
        <w:tc>
          <w:tcPr>
            <w:tcW w:w="5055"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Надання психолого-педагогічної допомоги здобувачам освіти, які вчинили булінг (цькування), стали його свідками або постраждали від булінгу</w:t>
            </w:r>
          </w:p>
        </w:tc>
        <w:tc>
          <w:tcPr>
            <w:tcW w:w="1988"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За запитом</w:t>
            </w:r>
          </w:p>
        </w:tc>
        <w:tc>
          <w:tcPr>
            <w:tcW w:w="2123"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Практичний психолог, вихователі</w:t>
            </w:r>
          </w:p>
        </w:tc>
      </w:tr>
      <w:tr w:rsidR="0077332F" w:rsidRPr="00040BBB" w:rsidTr="00801EB8">
        <w:tc>
          <w:tcPr>
            <w:tcW w:w="0" w:type="auto"/>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7</w:t>
            </w:r>
          </w:p>
        </w:tc>
        <w:tc>
          <w:tcPr>
            <w:tcW w:w="5055"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Оновлення інформації веб-сайту з проблеми запобігання та протидію булінгу</w:t>
            </w:r>
          </w:p>
        </w:tc>
        <w:tc>
          <w:tcPr>
            <w:tcW w:w="1988"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Проя</w:t>
            </w:r>
            <w:r>
              <w:rPr>
                <w:rFonts w:ascii="Times New Roman" w:eastAsia="Times New Roman" w:hAnsi="Times New Roman" w:cs="Times New Roman"/>
                <w:sz w:val="24"/>
                <w:szCs w:val="24"/>
                <w:lang w:val="uk-UA" w:eastAsia="ru-RU"/>
              </w:rPr>
              <w:t>г</w:t>
            </w:r>
            <w:r w:rsidRPr="00040BBB">
              <w:rPr>
                <w:rFonts w:ascii="Times New Roman" w:eastAsia="Times New Roman" w:hAnsi="Times New Roman" w:cs="Times New Roman"/>
                <w:sz w:val="24"/>
                <w:szCs w:val="24"/>
                <w:lang w:eastAsia="ru-RU"/>
              </w:rPr>
              <w:t>ом року</w:t>
            </w:r>
          </w:p>
        </w:tc>
        <w:tc>
          <w:tcPr>
            <w:tcW w:w="2123"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Вихователь-методист</w:t>
            </w:r>
          </w:p>
        </w:tc>
      </w:tr>
      <w:tr w:rsidR="0077332F" w:rsidRPr="00040BBB" w:rsidTr="00801EB8">
        <w:tc>
          <w:tcPr>
            <w:tcW w:w="0" w:type="auto"/>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8</w:t>
            </w:r>
          </w:p>
        </w:tc>
        <w:tc>
          <w:tcPr>
            <w:tcW w:w="5055"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Проведення профілактичної роботи щодо запобіганню булінгу в ЗДО</w:t>
            </w:r>
          </w:p>
        </w:tc>
        <w:tc>
          <w:tcPr>
            <w:tcW w:w="1988"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Систематично</w:t>
            </w:r>
          </w:p>
        </w:tc>
        <w:tc>
          <w:tcPr>
            <w:tcW w:w="2123"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Вихователь-методист, практичний психолог</w:t>
            </w:r>
          </w:p>
        </w:tc>
      </w:tr>
      <w:tr w:rsidR="0077332F" w:rsidRPr="00040BBB" w:rsidTr="00801EB8">
        <w:tc>
          <w:tcPr>
            <w:tcW w:w="0" w:type="auto"/>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9</w:t>
            </w:r>
          </w:p>
        </w:tc>
        <w:tc>
          <w:tcPr>
            <w:tcW w:w="5055"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Формування навичок дружніх стосунків серед вихованців ЗДО, проведення бесід з дітьми щодо забезпечення попередження насильства та булінгу, обговорення проблемних ситуацій</w:t>
            </w:r>
          </w:p>
        </w:tc>
        <w:tc>
          <w:tcPr>
            <w:tcW w:w="1988"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Протягом року</w:t>
            </w:r>
          </w:p>
        </w:tc>
        <w:tc>
          <w:tcPr>
            <w:tcW w:w="2123"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Вихователі</w:t>
            </w:r>
          </w:p>
        </w:tc>
      </w:tr>
      <w:tr w:rsidR="0077332F" w:rsidRPr="00040BBB" w:rsidTr="00801EB8">
        <w:tc>
          <w:tcPr>
            <w:tcW w:w="0" w:type="auto"/>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lastRenderedPageBreak/>
              <w:t>10</w:t>
            </w:r>
          </w:p>
        </w:tc>
        <w:tc>
          <w:tcPr>
            <w:tcW w:w="5055"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val="uk-UA" w:eastAsia="ru-RU"/>
              </w:rPr>
            </w:pPr>
            <w:r w:rsidRPr="00040BBB">
              <w:rPr>
                <w:rFonts w:ascii="Times New Roman" w:eastAsia="Times New Roman" w:hAnsi="Times New Roman" w:cs="Times New Roman"/>
                <w:sz w:val="24"/>
                <w:szCs w:val="24"/>
                <w:bdr w:val="none" w:sz="0" w:space="0" w:color="auto" w:frame="1"/>
                <w:lang w:val="uk-UA" w:eastAsia="ru-RU"/>
              </w:rPr>
              <w:t xml:space="preserve">Проведення з вихованцями бесід, занять щодо формування звільнятися від напруження, скутості, навчання комунікативної та вербальної поведінки, організація </w:t>
            </w:r>
            <w:r w:rsidRPr="00040BBB">
              <w:rPr>
                <w:rFonts w:ascii="Times New Roman" w:eastAsia="Times New Roman" w:hAnsi="Times New Roman" w:cs="Times New Roman"/>
                <w:sz w:val="24"/>
                <w:szCs w:val="24"/>
                <w:lang w:eastAsia="ru-RU"/>
              </w:rPr>
              <w:t>форм роботи з дітьми, що формують у них уявлення про толерант</w:t>
            </w:r>
            <w:r>
              <w:rPr>
                <w:rFonts w:ascii="Times New Roman" w:eastAsia="Times New Roman" w:hAnsi="Times New Roman" w:cs="Times New Roman"/>
                <w:sz w:val="24"/>
                <w:szCs w:val="24"/>
                <w:lang w:val="uk-UA" w:eastAsia="ru-RU"/>
              </w:rPr>
              <w:t>-</w:t>
            </w:r>
            <w:r w:rsidRPr="00040BBB">
              <w:rPr>
                <w:rFonts w:ascii="Times New Roman" w:eastAsia="Times New Roman" w:hAnsi="Times New Roman" w:cs="Times New Roman"/>
                <w:sz w:val="24"/>
                <w:szCs w:val="24"/>
                <w:lang w:eastAsia="ru-RU"/>
              </w:rPr>
              <w:t xml:space="preserve">ність та доброту по відношенню до різних людей, справедливість, </w:t>
            </w:r>
            <w:r w:rsidRPr="00040BBB">
              <w:rPr>
                <w:rFonts w:ascii="Times New Roman" w:eastAsia="Times New Roman" w:hAnsi="Times New Roman" w:cs="Times New Roman"/>
                <w:sz w:val="24"/>
                <w:szCs w:val="24"/>
                <w:lang w:val="uk-UA" w:eastAsia="ru-RU"/>
              </w:rPr>
              <w:t>чесність</w:t>
            </w:r>
          </w:p>
        </w:tc>
        <w:tc>
          <w:tcPr>
            <w:tcW w:w="1988"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Протягом року</w:t>
            </w:r>
          </w:p>
        </w:tc>
        <w:tc>
          <w:tcPr>
            <w:tcW w:w="2123"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Вихователі</w:t>
            </w:r>
          </w:p>
        </w:tc>
      </w:tr>
      <w:tr w:rsidR="0077332F" w:rsidRPr="00040BBB" w:rsidTr="00801EB8">
        <w:tc>
          <w:tcPr>
            <w:tcW w:w="0" w:type="auto"/>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11</w:t>
            </w:r>
          </w:p>
        </w:tc>
        <w:tc>
          <w:tcPr>
            <w:tcW w:w="5055"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Спостереження за психологічним мікрокліма</w:t>
            </w:r>
            <w:r>
              <w:rPr>
                <w:rFonts w:ascii="Times New Roman" w:eastAsia="Times New Roman" w:hAnsi="Times New Roman" w:cs="Times New Roman"/>
                <w:sz w:val="24"/>
                <w:szCs w:val="24"/>
                <w:lang w:val="uk-UA" w:eastAsia="ru-RU"/>
              </w:rPr>
              <w:t>-</w:t>
            </w:r>
            <w:r w:rsidRPr="00040BBB">
              <w:rPr>
                <w:rFonts w:ascii="Times New Roman" w:eastAsia="Times New Roman" w:hAnsi="Times New Roman" w:cs="Times New Roman"/>
                <w:sz w:val="24"/>
                <w:szCs w:val="24"/>
                <w:lang w:eastAsia="ru-RU"/>
              </w:rPr>
              <w:t>том у дитячому колективі</w:t>
            </w:r>
          </w:p>
        </w:tc>
        <w:tc>
          <w:tcPr>
            <w:tcW w:w="1988"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Протягом року</w:t>
            </w:r>
          </w:p>
        </w:tc>
        <w:tc>
          <w:tcPr>
            <w:tcW w:w="2123"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Вихователі</w:t>
            </w:r>
          </w:p>
        </w:tc>
      </w:tr>
      <w:tr w:rsidR="0077332F" w:rsidRPr="00040BBB" w:rsidTr="00801EB8">
        <w:tc>
          <w:tcPr>
            <w:tcW w:w="0" w:type="auto"/>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77332F" w:rsidRDefault="0077332F" w:rsidP="00801EB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5055"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Активізувати просвітницьку роботу з питань правової освіти серед родин вихованців</w:t>
            </w:r>
          </w:p>
        </w:tc>
        <w:tc>
          <w:tcPr>
            <w:tcW w:w="1988"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Протягом року</w:t>
            </w:r>
          </w:p>
        </w:tc>
        <w:tc>
          <w:tcPr>
            <w:tcW w:w="2123"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Вихователі</w:t>
            </w:r>
          </w:p>
        </w:tc>
      </w:tr>
      <w:tr w:rsidR="0077332F" w:rsidRPr="00040BBB" w:rsidTr="00801EB8">
        <w:tc>
          <w:tcPr>
            <w:tcW w:w="0" w:type="auto"/>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77332F" w:rsidRDefault="0077332F" w:rsidP="00801EB8">
            <w:pPr>
              <w:spacing w:after="0"/>
              <w:rPr>
                <w:rFonts w:ascii="Times New Roman" w:eastAsia="Times New Roman" w:hAnsi="Times New Roman" w:cs="Times New Roman"/>
                <w:sz w:val="24"/>
                <w:szCs w:val="24"/>
                <w:lang w:val="uk-UA" w:eastAsia="ru-RU"/>
              </w:rPr>
            </w:pPr>
            <w:r w:rsidRPr="00040BB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3</w:t>
            </w:r>
          </w:p>
        </w:tc>
        <w:tc>
          <w:tcPr>
            <w:tcW w:w="5055"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Оформленя інформаційних буклетів, бюлете</w:t>
            </w:r>
            <w:r>
              <w:rPr>
                <w:rFonts w:ascii="Times New Roman" w:eastAsia="Times New Roman" w:hAnsi="Times New Roman" w:cs="Times New Roman"/>
                <w:sz w:val="24"/>
                <w:szCs w:val="24"/>
                <w:lang w:val="uk-UA" w:eastAsia="ru-RU"/>
              </w:rPr>
              <w:t>-</w:t>
            </w:r>
            <w:r w:rsidRPr="00040BBB">
              <w:rPr>
                <w:rFonts w:ascii="Times New Roman" w:eastAsia="Times New Roman" w:hAnsi="Times New Roman" w:cs="Times New Roman"/>
                <w:sz w:val="24"/>
                <w:szCs w:val="24"/>
                <w:lang w:eastAsia="ru-RU"/>
              </w:rPr>
              <w:t>нів, папок-пересувок для батьків</w:t>
            </w:r>
          </w:p>
        </w:tc>
        <w:tc>
          <w:tcPr>
            <w:tcW w:w="1988"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Протягом року</w:t>
            </w:r>
          </w:p>
        </w:tc>
        <w:tc>
          <w:tcPr>
            <w:tcW w:w="2123"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Вихователі, практичний психолог</w:t>
            </w:r>
          </w:p>
        </w:tc>
      </w:tr>
      <w:tr w:rsidR="0077332F" w:rsidRPr="00040BBB" w:rsidTr="00801EB8">
        <w:tc>
          <w:tcPr>
            <w:tcW w:w="0" w:type="auto"/>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77332F" w:rsidRDefault="0077332F" w:rsidP="00801EB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5055"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77332F" w:rsidRDefault="0077332F" w:rsidP="00801EB8">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Проведення </w:t>
            </w:r>
            <w:r w:rsidRPr="00B44F63">
              <w:rPr>
                <w:rFonts w:ascii="Times New Roman" w:eastAsia="Times New Roman" w:hAnsi="Times New Roman" w:cs="Times New Roman"/>
                <w:sz w:val="24"/>
                <w:szCs w:val="24"/>
                <w:bdr w:val="none" w:sz="0" w:space="0" w:color="auto" w:frame="1"/>
                <w:lang w:val="uk-UA" w:eastAsia="ru-RU"/>
              </w:rPr>
              <w:t>просвітницької роботи з учасниками освітнього процесу щодо профілактики насильства</w:t>
            </w:r>
            <w:r w:rsidRPr="0077332F">
              <w:rPr>
                <w:rFonts w:ascii="Times New Roman" w:eastAsia="Times New Roman" w:hAnsi="Times New Roman" w:cs="Times New Roman"/>
                <w:sz w:val="24"/>
                <w:szCs w:val="24"/>
                <w:bdr w:val="none" w:sz="0" w:space="0" w:color="auto" w:frame="1"/>
                <w:lang w:val="uk-UA" w:eastAsia="ru-RU"/>
              </w:rPr>
              <w:t>.</w:t>
            </w:r>
            <w:r w:rsidRPr="0077332F">
              <w:rPr>
                <w:rFonts w:ascii="Times New Roman" w:eastAsia="Times New Roman" w:hAnsi="Times New Roman" w:cs="Times New Roman"/>
                <w:sz w:val="24"/>
                <w:szCs w:val="24"/>
                <w:lang w:eastAsia="ru-RU"/>
              </w:rPr>
              <w:t xml:space="preserve"> Розповсюдження інформації щодо профілактики булінгу та мобінгу: пам’ятка, листівки в групах для батьків (соціальні мережі</w:t>
            </w:r>
          </w:p>
        </w:tc>
        <w:tc>
          <w:tcPr>
            <w:tcW w:w="1988"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Систематично</w:t>
            </w:r>
          </w:p>
        </w:tc>
        <w:tc>
          <w:tcPr>
            <w:tcW w:w="2123" w:type="dxa"/>
            <w:tcBorders>
              <w:top w:val="single" w:sz="2" w:space="0" w:color="005494"/>
              <w:left w:val="single" w:sz="2" w:space="0" w:color="005494"/>
              <w:bottom w:val="single" w:sz="2" w:space="0" w:color="005494"/>
              <w:right w:val="single" w:sz="2" w:space="0" w:color="005494"/>
            </w:tcBorders>
            <w:shd w:val="clear" w:color="auto" w:fill="FFFFFF"/>
            <w:tcMar>
              <w:top w:w="42" w:type="dxa"/>
              <w:left w:w="42" w:type="dxa"/>
              <w:bottom w:w="42" w:type="dxa"/>
              <w:right w:w="42" w:type="dxa"/>
            </w:tcMar>
            <w:hideMark/>
          </w:tcPr>
          <w:p w:rsidR="0077332F" w:rsidRDefault="0077332F" w:rsidP="00801EB8">
            <w:pPr>
              <w:spacing w:after="0"/>
              <w:rPr>
                <w:rFonts w:ascii="Times New Roman" w:eastAsia="Times New Roman" w:hAnsi="Times New Roman" w:cs="Times New Roman"/>
                <w:sz w:val="24"/>
                <w:szCs w:val="24"/>
                <w:lang w:val="uk-UA" w:eastAsia="ru-RU"/>
              </w:rPr>
            </w:pPr>
            <w:r w:rsidRPr="00040BBB">
              <w:rPr>
                <w:rFonts w:ascii="Times New Roman" w:eastAsia="Times New Roman" w:hAnsi="Times New Roman" w:cs="Times New Roman"/>
                <w:sz w:val="24"/>
                <w:szCs w:val="24"/>
                <w:lang w:eastAsia="ru-RU"/>
              </w:rPr>
              <w:t xml:space="preserve">Практичний </w:t>
            </w:r>
          </w:p>
          <w:p w:rsidR="0077332F" w:rsidRPr="00040BBB" w:rsidRDefault="0077332F" w:rsidP="00801EB8">
            <w:pPr>
              <w:spacing w:after="0"/>
              <w:rPr>
                <w:rFonts w:ascii="Times New Roman" w:eastAsia="Times New Roman" w:hAnsi="Times New Roman" w:cs="Times New Roman"/>
                <w:sz w:val="24"/>
                <w:szCs w:val="24"/>
                <w:lang w:eastAsia="ru-RU"/>
              </w:rPr>
            </w:pPr>
            <w:r w:rsidRPr="00040BBB">
              <w:rPr>
                <w:rFonts w:ascii="Times New Roman" w:eastAsia="Times New Roman" w:hAnsi="Times New Roman" w:cs="Times New Roman"/>
                <w:sz w:val="24"/>
                <w:szCs w:val="24"/>
                <w:lang w:eastAsia="ru-RU"/>
              </w:rPr>
              <w:t>психолог</w:t>
            </w:r>
          </w:p>
        </w:tc>
      </w:tr>
    </w:tbl>
    <w:p w:rsidR="0077332F" w:rsidRPr="00040BBB" w:rsidRDefault="0077332F" w:rsidP="0077332F">
      <w:pPr>
        <w:rPr>
          <w:rFonts w:ascii="Times New Roman" w:hAnsi="Times New Roman" w:cs="Times New Roman"/>
          <w:sz w:val="24"/>
          <w:szCs w:val="24"/>
        </w:rPr>
      </w:pPr>
    </w:p>
    <w:p w:rsidR="0077332F" w:rsidRPr="00040BBB" w:rsidRDefault="0077332F" w:rsidP="0077332F">
      <w:pPr>
        <w:rPr>
          <w:rFonts w:ascii="Times New Roman" w:hAnsi="Times New Roman" w:cs="Times New Roman"/>
          <w:sz w:val="24"/>
          <w:szCs w:val="24"/>
          <w:lang w:val="uk-UA"/>
        </w:rPr>
      </w:pPr>
    </w:p>
    <w:p w:rsidR="0077332F" w:rsidRPr="00040BBB" w:rsidRDefault="0077332F" w:rsidP="0077332F">
      <w:pPr>
        <w:rPr>
          <w:rFonts w:ascii="Times New Roman" w:hAnsi="Times New Roman" w:cs="Times New Roman"/>
          <w:sz w:val="24"/>
          <w:szCs w:val="24"/>
          <w:lang w:val="uk-UA"/>
        </w:rPr>
      </w:pPr>
    </w:p>
    <w:p w:rsidR="0077332F" w:rsidRPr="00C52FBA" w:rsidRDefault="0077332F" w:rsidP="0077332F">
      <w:pPr>
        <w:rPr>
          <w:rFonts w:ascii="Times New Roman" w:hAnsi="Times New Roman" w:cs="Times New Roman"/>
          <w:sz w:val="24"/>
          <w:szCs w:val="24"/>
          <w:lang w:val="uk-UA"/>
        </w:rPr>
      </w:pPr>
    </w:p>
    <w:p w:rsidR="00B10187" w:rsidRPr="00B10187" w:rsidRDefault="00B10187" w:rsidP="00B10187">
      <w:pPr>
        <w:shd w:val="clear" w:color="auto" w:fill="B2C2D1"/>
        <w:spacing w:before="100" w:after="100" w:line="240" w:lineRule="auto"/>
        <w:jc w:val="center"/>
        <w:rPr>
          <w:rFonts w:ascii="Tahoma" w:eastAsia="Times New Roman" w:hAnsi="Tahoma" w:cs="Tahoma"/>
          <w:color w:val="0D1216"/>
          <w:sz w:val="12"/>
          <w:szCs w:val="12"/>
          <w:lang w:eastAsia="ru-RU"/>
        </w:rPr>
      </w:pPr>
      <w:r w:rsidRPr="00B10187">
        <w:rPr>
          <w:rFonts w:ascii="Times New Roman" w:eastAsia="Times New Roman" w:hAnsi="Times New Roman" w:cs="Times New Roman"/>
          <w:color w:val="0D1216"/>
          <w:sz w:val="28"/>
          <w:szCs w:val="28"/>
          <w:lang w:eastAsia="ru-RU"/>
        </w:rPr>
        <w:t> </w:t>
      </w:r>
      <w:r w:rsidRPr="00B10187">
        <w:rPr>
          <w:rFonts w:ascii="Times New Roman" w:eastAsia="Times New Roman" w:hAnsi="Times New Roman" w:cs="Times New Roman"/>
          <w:b/>
          <w:bCs/>
          <w:color w:val="0D1216"/>
          <w:sz w:val="28"/>
          <w:lang w:eastAsia="ru-RU"/>
        </w:rPr>
        <w:t>Протидія булінгу (цькуванню)</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b/>
          <w:bCs/>
          <w:color w:val="0D1216"/>
          <w:sz w:val="28"/>
          <w:lang w:eastAsia="ru-RU"/>
        </w:rPr>
        <w:t>Булінг (цькування)</w:t>
      </w:r>
      <w:r w:rsidRPr="00B10187">
        <w:rPr>
          <w:rFonts w:ascii="Times New Roman" w:eastAsia="Times New Roman" w:hAnsi="Times New Roman" w:cs="Times New Roman"/>
          <w:color w:val="0D1216"/>
          <w:sz w:val="28"/>
          <w:szCs w:val="28"/>
          <w:lang w:eastAsia="ru-RU"/>
        </w:rPr>
        <w:t>, тобто діяння учасників освітнього процесу, які полягають у психологічному, фізичному, економічному, сексуальному насильстві. У тому чис</w:t>
      </w:r>
      <w:bookmarkStart w:id="0" w:name="_GoBack"/>
      <w:bookmarkEnd w:id="0"/>
      <w:r w:rsidRPr="00B10187">
        <w:rPr>
          <w:rFonts w:ascii="Times New Roman" w:eastAsia="Times New Roman" w:hAnsi="Times New Roman" w:cs="Times New Roman"/>
          <w:color w:val="0D1216"/>
          <w:sz w:val="28"/>
          <w:szCs w:val="28"/>
          <w:lang w:eastAsia="ru-RU"/>
        </w:rPr>
        <w:t>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b/>
          <w:bCs/>
          <w:color w:val="0D1216"/>
          <w:sz w:val="28"/>
          <w:u w:val="single"/>
          <w:lang w:eastAsia="ru-RU"/>
        </w:rPr>
        <w:t>Типовими ознаками булінгу (цькування) є:</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color w:val="0D1216"/>
          <w:sz w:val="28"/>
          <w:szCs w:val="28"/>
          <w:lang w:eastAsia="ru-RU"/>
        </w:rPr>
        <w:t>— систематичність (повторюваність) діяння;</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color w:val="0D1216"/>
          <w:sz w:val="28"/>
          <w:szCs w:val="28"/>
          <w:lang w:eastAsia="ru-RU"/>
        </w:rPr>
        <w:t>— наявність сторін – кривдник (булер), потерпілий (жертва булінгу), спостерігачі (за наявності);</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color w:val="0D1216"/>
          <w:sz w:val="28"/>
          <w:szCs w:val="28"/>
          <w:lang w:eastAsia="ru-RU"/>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 </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b/>
          <w:bCs/>
          <w:color w:val="0D1216"/>
          <w:sz w:val="28"/>
          <w:u w:val="single"/>
          <w:lang w:eastAsia="ru-RU"/>
        </w:rPr>
        <w:lastRenderedPageBreak/>
        <w:t>Порядок подання та розгляду (з дотриманням конфіденційності) заяв про випадки булінгу (цькування) в закладі освіти, порядок реагування на доведені випадки булінгу (цькування) та відповідальність осіб, причетних до булінгу (цькування).</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color w:val="0D1216"/>
          <w:sz w:val="28"/>
          <w:szCs w:val="28"/>
          <w:lang w:eastAsia="ru-RU"/>
        </w:rPr>
        <w:t>       Із метою створення безпечного освітнього середовища в закладі освіти здобувачів освіти педагогічні працівники, батьки та інші учасники освітнього процесу зобов’язані повідомляти керівника закладу про випадки булінгу,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color w:val="0D1216"/>
          <w:sz w:val="28"/>
          <w:szCs w:val="28"/>
          <w:lang w:eastAsia="ru-RU"/>
        </w:rPr>
        <w:t>Відповідно до такої заяви керівник закладу видає рішення про проведення розслідування із визначенням уповноважених осіб. Для прийняття рішення за результатами розслідування керівник закладу скликає засідання комісії з розгляду випадків булінгу. Якщо комісія визнала, що це був булінг, а не одноразовий конфлікт чи сварка, тобто відповідні дії носять систематичний характер, то керівник закладу повідомляє уповноважені підрозділи органів Національної поліції України (ювенальна поліція) та Службу у справах дітей.</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color w:val="0D1216"/>
          <w:sz w:val="28"/>
          <w:szCs w:val="28"/>
          <w:lang w:eastAsia="ru-RU"/>
        </w:rPr>
        <w:t>       У разі, якщо комісія не кваліфікує випадок як булінг, а постраждалий не згодний із цим, то він може звертатися до органів Національної поліції України із заявою.</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color w:val="0D1216"/>
          <w:sz w:val="28"/>
          <w:szCs w:val="28"/>
          <w:lang w:eastAsia="ru-RU"/>
        </w:rPr>
        <w:t>Керівник закладу повідомляє про терміни, порядок реагування на доведені випадки булінгу, відповідальність осіб, причетних до булінгу та процедуру розгляду відповідно до законодавства.</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color w:val="0D1216"/>
          <w:sz w:val="28"/>
          <w:szCs w:val="28"/>
          <w:lang w:eastAsia="ru-RU"/>
        </w:rPr>
        <w:t>       Згідно з КУпАП булінг учасника освітнього процесу тягне за собою накладання штрафу від 50 до 100 неоподатковуваних мінімумів або від 20 до 40 годин громадських робіт. Якщо булінг вчинено групою осіб або повторно протягом року після накладення адміністративного стягнення, штраф становитиме від 100 до 200 неоподатковуваних мінімумів або громадські роботи від 40 до 60 годин. Булінг, вчинений малолітньою або неповнолітньою особою, тягне за собою накладання штрафу на батьків або осіб, які їх замінюють.</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b/>
          <w:bCs/>
          <w:color w:val="0D1216"/>
          <w:sz w:val="28"/>
          <w:u w:val="single"/>
          <w:lang w:eastAsia="ru-RU"/>
        </w:rPr>
        <w:t>Поради батькам</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color w:val="0D1216"/>
          <w:sz w:val="28"/>
          <w:szCs w:val="28"/>
          <w:lang w:eastAsia="ru-RU"/>
        </w:rPr>
        <w:t>Звертайте увагу на поведінку та настрій своїх дітей, їх фізичний та психічний стан. Можливо, ваша підтримка — це найперше, чого дитина потребує. Якщо ви виявили проблему, пов’язану з булінгом (вашу дитину б’ють чи ображають) звертайтесь:</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color w:val="0D1216"/>
          <w:sz w:val="28"/>
          <w:szCs w:val="28"/>
          <w:lang w:eastAsia="ru-RU"/>
        </w:rPr>
        <w:t>     — з заявою до поліції та закладів охорони здоров’я з фіксацією побоїв,</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color w:val="0D1216"/>
          <w:sz w:val="28"/>
          <w:szCs w:val="28"/>
          <w:lang w:eastAsia="ru-RU"/>
        </w:rPr>
        <w:t>  — до директора  (письмово, звернення надавайте секретарю із зазначенням вхідного номера на вашому примірнику).</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b/>
          <w:bCs/>
          <w:color w:val="0D1216"/>
          <w:sz w:val="28"/>
          <w:u w:val="single"/>
          <w:lang w:eastAsia="ru-RU"/>
        </w:rPr>
        <w:t>Відповідальність</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color w:val="0D1216"/>
          <w:sz w:val="28"/>
          <w:szCs w:val="28"/>
          <w:lang w:eastAsia="ru-RU"/>
        </w:rPr>
        <w:lastRenderedPageBreak/>
        <w:t>Запам’ятайте самі та навчіть свою дитину про відповідальність за заподіяння шкоди іншій особі. До адміністративної відповідальності притягуються з 16 років, а до того відповідальність за вчинки дітей несуть їхні батьки.</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b/>
          <w:bCs/>
          <w:color w:val="0D1216"/>
          <w:sz w:val="28"/>
          <w:u w:val="single"/>
          <w:lang w:eastAsia="ru-RU"/>
        </w:rPr>
        <w:t>Булінг </w:t>
      </w:r>
      <w:r w:rsidRPr="00B10187">
        <w:rPr>
          <w:rFonts w:ascii="Times New Roman" w:eastAsia="Times New Roman" w:hAnsi="Times New Roman" w:cs="Times New Roman"/>
          <w:color w:val="0D1216"/>
          <w:sz w:val="28"/>
          <w:szCs w:val="28"/>
          <w:lang w:eastAsia="ru-RU"/>
        </w:rPr>
        <w:t>– штраф 850-3400 грн., громадські роботи від 40 до 100 год. (ст.173-4 КУпАП).</w:t>
      </w:r>
      <w:r w:rsidRPr="00B10187">
        <w:rPr>
          <w:rFonts w:ascii="Times New Roman" w:eastAsia="Times New Roman" w:hAnsi="Times New Roman" w:cs="Times New Roman"/>
          <w:b/>
          <w:bCs/>
          <w:color w:val="0D1216"/>
          <w:sz w:val="28"/>
          <w:u w:val="single"/>
          <w:lang w:eastAsia="ru-RU"/>
        </w:rPr>
        <w:t> </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b/>
          <w:bCs/>
          <w:color w:val="0D1216"/>
          <w:sz w:val="28"/>
          <w:u w:val="single"/>
          <w:lang w:eastAsia="ru-RU"/>
        </w:rPr>
        <w:t>Викрадення чужого майна (крадіжки, шахрайство)</w:t>
      </w:r>
      <w:r w:rsidRPr="00B10187">
        <w:rPr>
          <w:rFonts w:ascii="Times New Roman" w:eastAsia="Times New Roman" w:hAnsi="Times New Roman" w:cs="Times New Roman"/>
          <w:color w:val="0D1216"/>
          <w:sz w:val="28"/>
          <w:szCs w:val="28"/>
          <w:lang w:eastAsia="ru-RU"/>
        </w:rPr>
        <w:t>— штраф, виправні роботи до 1 міс., адмінарешт — 5-10 діб, повторно — збільшений штраф, виправні роботи — 1-2 міс., адмінарешт — 10-15 діб (ст. 51 КУпАП).</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b/>
          <w:bCs/>
          <w:color w:val="0D1216"/>
          <w:sz w:val="28"/>
          <w:u w:val="single"/>
          <w:lang w:eastAsia="ru-RU"/>
        </w:rPr>
        <w:t>Дрібне хуліганство</w:t>
      </w:r>
      <w:r w:rsidRPr="00B10187">
        <w:rPr>
          <w:rFonts w:ascii="Times New Roman" w:eastAsia="Times New Roman" w:hAnsi="Times New Roman" w:cs="Times New Roman"/>
          <w:color w:val="0D1216"/>
          <w:sz w:val="28"/>
          <w:szCs w:val="28"/>
          <w:lang w:eastAsia="ru-RU"/>
        </w:rPr>
        <w:t> (нецензурна лайка в громадських місцях, образливе чіпляння до громадян та інші подібні дії) — штраф, громадські роботи, виправні роботи, адміністративний арешт до 15 діб (ст. 173 КУпАП).</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b/>
          <w:bCs/>
          <w:color w:val="0D1216"/>
          <w:sz w:val="28"/>
          <w:u w:val="single"/>
          <w:lang w:eastAsia="ru-RU"/>
        </w:rPr>
        <w:t>Ухиляння батьків від виконання обов’язків стосовно виховання дітей</w:t>
      </w:r>
      <w:r w:rsidRPr="00B10187">
        <w:rPr>
          <w:rFonts w:ascii="Times New Roman" w:eastAsia="Times New Roman" w:hAnsi="Times New Roman" w:cs="Times New Roman"/>
          <w:color w:val="0D1216"/>
          <w:sz w:val="28"/>
          <w:szCs w:val="28"/>
          <w:lang w:eastAsia="ru-RU"/>
        </w:rPr>
        <w:t> теж тягне за собою адміністративну відповідальність, адже відповідно до ст. 50 Сімейного кодексу України, батьки зобов’язані: виховувати дитину в дусі поваги до прав та свобод інших людей.</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color w:val="0D1216"/>
          <w:sz w:val="28"/>
          <w:szCs w:val="28"/>
          <w:lang w:eastAsia="ru-RU"/>
        </w:rPr>
        <w:t>          Нормами цього закону не передбачається внесення змін до Кримінального кодексу України стосовно запровадження кримінальної відповідальності за скоєння правопорушень, пов’язаних з булінгом (цькуванням),   оскільки скоєння правопорушником при вчиненні булінгу (цькування) інших дій, кваліфікуються відповідними статтями Кримінального кодексу України, зокрема – заподіяння тілесних ушкоджень різних видів тяжкості тощо. За такі дії з 16 років, а в окремих випадках з 14 років настає кримінальна відповідальність:</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b/>
          <w:bCs/>
          <w:color w:val="0D1216"/>
          <w:sz w:val="28"/>
          <w:u w:val="single"/>
          <w:lang w:eastAsia="ru-RU"/>
        </w:rPr>
        <w:t>Побої і мордування</w:t>
      </w:r>
      <w:r w:rsidRPr="00B10187">
        <w:rPr>
          <w:rFonts w:ascii="Times New Roman" w:eastAsia="Times New Roman" w:hAnsi="Times New Roman" w:cs="Times New Roman"/>
          <w:color w:val="0D1216"/>
          <w:sz w:val="28"/>
          <w:szCs w:val="28"/>
          <w:lang w:eastAsia="ru-RU"/>
        </w:rPr>
        <w:t> — умисне завдання удару, побоїв або вчинення інших насильницьких дій, які завдали фізичного болю і не спричинили тілесних ушкоджень, — штраф, громадські роботи на строк до 200 годин, виправні роботи — до 1 року, групове — обмеження/позбавлення волі до 5 років (ст. 126 Криімнального кодексу України).</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b/>
          <w:bCs/>
          <w:color w:val="0D1216"/>
          <w:sz w:val="28"/>
          <w:u w:val="single"/>
          <w:lang w:eastAsia="ru-RU"/>
        </w:rPr>
        <w:t>Погроза вбивством,</w:t>
      </w:r>
      <w:r w:rsidRPr="00B10187">
        <w:rPr>
          <w:rFonts w:ascii="Times New Roman" w:eastAsia="Times New Roman" w:hAnsi="Times New Roman" w:cs="Times New Roman"/>
          <w:color w:val="0D1216"/>
          <w:sz w:val="28"/>
          <w:szCs w:val="28"/>
          <w:lang w:eastAsia="ru-RU"/>
        </w:rPr>
        <w:t> якщо були реальні підстави побоюватися здійснення цієї погрози — арешт на строк до 6 місяців або обмеженням волі на строк до 2 років (ст. 129 ККУ).</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b/>
          <w:bCs/>
          <w:color w:val="0D1216"/>
          <w:sz w:val="28"/>
          <w:u w:val="single"/>
          <w:lang w:eastAsia="ru-RU"/>
        </w:rPr>
        <w:t>Хуліганство</w:t>
      </w:r>
      <w:r w:rsidRPr="00B10187">
        <w:rPr>
          <w:rFonts w:ascii="Times New Roman" w:eastAsia="Times New Roman" w:hAnsi="Times New Roman" w:cs="Times New Roman"/>
          <w:color w:val="0D1216"/>
          <w:sz w:val="28"/>
          <w:szCs w:val="28"/>
          <w:lang w:eastAsia="ru-RU"/>
        </w:rPr>
        <w:t>, тобто грубе порушення громадського порядку з мотивів явної неповаги до суспільства, що супроводжується особливою зухвалістю чи винятковим цинізмом, — штраф, арешт на строк до шести місяців, або обмеженням волі на строк до 5 років. Групове хуліганство — обмеження волі на строк до 5 років або позбавленням волі на строк до 4 років (стаття 296 ККУ).</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b/>
          <w:bCs/>
          <w:color w:val="0D1216"/>
          <w:sz w:val="28"/>
          <w:u w:val="single"/>
          <w:lang w:eastAsia="ru-RU"/>
        </w:rPr>
        <w:t>Умисне тяжке тілесне ушкодження </w:t>
      </w:r>
      <w:r w:rsidRPr="00B10187">
        <w:rPr>
          <w:rFonts w:ascii="Times New Roman" w:eastAsia="Times New Roman" w:hAnsi="Times New Roman" w:cs="Times New Roman"/>
          <w:color w:val="0D1216"/>
          <w:sz w:val="28"/>
          <w:szCs w:val="28"/>
          <w:lang w:eastAsia="ru-RU"/>
        </w:rPr>
        <w:t>— позбавлення волі на строк від 5 до 8 років (ст.121 ККУ).</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b/>
          <w:bCs/>
          <w:color w:val="0D1216"/>
          <w:sz w:val="28"/>
          <w:u w:val="single"/>
          <w:lang w:eastAsia="ru-RU"/>
        </w:rPr>
        <w:t>Умисне легке тілесне ушкодження</w:t>
      </w:r>
      <w:r w:rsidRPr="00B10187">
        <w:rPr>
          <w:rFonts w:ascii="Times New Roman" w:eastAsia="Times New Roman" w:hAnsi="Times New Roman" w:cs="Times New Roman"/>
          <w:color w:val="0D1216"/>
          <w:sz w:val="28"/>
          <w:szCs w:val="28"/>
          <w:lang w:eastAsia="ru-RU"/>
        </w:rPr>
        <w:t> — штраф, громадські роботи на строк до 200 годин, виправні роботами на строк до одного року (ст. 125 ККУ).</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color w:val="0D1216"/>
          <w:sz w:val="28"/>
          <w:szCs w:val="28"/>
          <w:lang w:eastAsia="ru-RU"/>
        </w:rPr>
        <w:lastRenderedPageBreak/>
        <w:t>         Отже, при вчиненні подібних дій стосовно вашої дитини варто обов’язково фіксувати побої і звертатись до поліції за номером 102. Після того, як дитину визнають потерпілою, звертайтесь за призначенням адвоката, гарантованого державою, до найближчого центру/бюро правової допомоги:</w:t>
      </w:r>
    </w:p>
    <w:p w:rsidR="00B10187" w:rsidRPr="00B10187" w:rsidRDefault="00B10187" w:rsidP="00B10187">
      <w:pPr>
        <w:shd w:val="clear" w:color="auto" w:fill="B2C2D1"/>
        <w:spacing w:before="100" w:after="100" w:line="240" w:lineRule="auto"/>
        <w:jc w:val="both"/>
        <w:rPr>
          <w:rFonts w:ascii="Tahoma" w:eastAsia="Times New Roman" w:hAnsi="Tahoma" w:cs="Tahoma"/>
          <w:color w:val="0D1216"/>
          <w:sz w:val="12"/>
          <w:szCs w:val="12"/>
          <w:lang w:eastAsia="ru-RU"/>
        </w:rPr>
      </w:pPr>
      <w:r w:rsidRPr="00B10187">
        <w:rPr>
          <w:rFonts w:ascii="Times New Roman" w:eastAsia="Times New Roman" w:hAnsi="Times New Roman" w:cs="Times New Roman"/>
          <w:color w:val="0D1216"/>
          <w:sz w:val="28"/>
          <w:szCs w:val="28"/>
          <w:lang w:eastAsia="ru-RU"/>
        </w:rPr>
        <w:t>Кожна дитина або її законний представник мають право звернутись і отримати безоплатну консультацію юриста. У разі потреби представляти інтереси в суді — усі без виключення діти мають право на призначення адвоката (юриста) за рахунок держави.</w:t>
      </w:r>
    </w:p>
    <w:p w:rsidR="00E80A10" w:rsidRDefault="00E80A10">
      <w:pPr>
        <w:rPr>
          <w:lang w:val="uk-UA"/>
        </w:rPr>
      </w:pPr>
    </w:p>
    <w:sectPr w:rsidR="00E80A10" w:rsidSect="007D62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A10" w:rsidRDefault="00E80A10" w:rsidP="00B10187">
      <w:pPr>
        <w:spacing w:after="0" w:line="240" w:lineRule="auto"/>
      </w:pPr>
      <w:r>
        <w:separator/>
      </w:r>
    </w:p>
  </w:endnote>
  <w:endnote w:type="continuationSeparator" w:id="0">
    <w:p w:rsidR="00E80A10" w:rsidRDefault="00E80A10" w:rsidP="00B1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A10" w:rsidRDefault="00E80A10" w:rsidP="00B10187">
      <w:pPr>
        <w:spacing w:after="0" w:line="240" w:lineRule="auto"/>
      </w:pPr>
      <w:r>
        <w:separator/>
      </w:r>
    </w:p>
  </w:footnote>
  <w:footnote w:type="continuationSeparator" w:id="0">
    <w:p w:rsidR="00E80A10" w:rsidRDefault="00E80A10" w:rsidP="00B10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7F1F"/>
    <w:multiLevelType w:val="multilevel"/>
    <w:tmpl w:val="154A04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9673D"/>
    <w:multiLevelType w:val="multilevel"/>
    <w:tmpl w:val="C16A7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F2D69"/>
    <w:multiLevelType w:val="multilevel"/>
    <w:tmpl w:val="BE38F7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AA2B45"/>
    <w:multiLevelType w:val="multilevel"/>
    <w:tmpl w:val="751060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1B3A0B"/>
    <w:multiLevelType w:val="multilevel"/>
    <w:tmpl w:val="ECE0E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3175AD"/>
    <w:multiLevelType w:val="multilevel"/>
    <w:tmpl w:val="9E06CB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87"/>
    <w:rsid w:val="00040BBB"/>
    <w:rsid w:val="00321941"/>
    <w:rsid w:val="005B1295"/>
    <w:rsid w:val="0077332F"/>
    <w:rsid w:val="00790E13"/>
    <w:rsid w:val="007D621D"/>
    <w:rsid w:val="008C7111"/>
    <w:rsid w:val="008D10FA"/>
    <w:rsid w:val="00916AFB"/>
    <w:rsid w:val="009B21C0"/>
    <w:rsid w:val="00A93C4F"/>
    <w:rsid w:val="00B10187"/>
    <w:rsid w:val="00B44F63"/>
    <w:rsid w:val="00BB44F4"/>
    <w:rsid w:val="00C47819"/>
    <w:rsid w:val="00C52FBA"/>
    <w:rsid w:val="00C728C1"/>
    <w:rsid w:val="00E45786"/>
    <w:rsid w:val="00E51FFD"/>
    <w:rsid w:val="00E80A10"/>
    <w:rsid w:val="00EA642E"/>
    <w:rsid w:val="00F04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04C1A-E2F3-4F81-A3CC-F319E351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32F"/>
  </w:style>
  <w:style w:type="paragraph" w:styleId="1">
    <w:name w:val="heading 1"/>
    <w:basedOn w:val="a"/>
    <w:link w:val="10"/>
    <w:uiPriority w:val="9"/>
    <w:qFormat/>
    <w:rsid w:val="008C71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01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0187"/>
    <w:rPr>
      <w:b/>
      <w:bCs/>
    </w:rPr>
  </w:style>
  <w:style w:type="character" w:styleId="a5">
    <w:name w:val="Emphasis"/>
    <w:basedOn w:val="a0"/>
    <w:uiPriority w:val="20"/>
    <w:qFormat/>
    <w:rsid w:val="00B10187"/>
    <w:rPr>
      <w:i/>
      <w:iCs/>
    </w:rPr>
  </w:style>
  <w:style w:type="paragraph" w:styleId="a6">
    <w:name w:val="Balloon Text"/>
    <w:basedOn w:val="a"/>
    <w:link w:val="a7"/>
    <w:uiPriority w:val="99"/>
    <w:semiHidden/>
    <w:unhideWhenUsed/>
    <w:rsid w:val="00B10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0187"/>
    <w:rPr>
      <w:rFonts w:ascii="Tahoma" w:hAnsi="Tahoma" w:cs="Tahoma"/>
      <w:sz w:val="16"/>
      <w:szCs w:val="16"/>
    </w:rPr>
  </w:style>
  <w:style w:type="paragraph" w:styleId="a8">
    <w:name w:val="header"/>
    <w:basedOn w:val="a"/>
    <w:link w:val="a9"/>
    <w:uiPriority w:val="99"/>
    <w:semiHidden/>
    <w:unhideWhenUsed/>
    <w:rsid w:val="00B1018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10187"/>
  </w:style>
  <w:style w:type="paragraph" w:styleId="aa">
    <w:name w:val="footer"/>
    <w:basedOn w:val="a"/>
    <w:link w:val="ab"/>
    <w:uiPriority w:val="99"/>
    <w:semiHidden/>
    <w:unhideWhenUsed/>
    <w:rsid w:val="00B1018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10187"/>
  </w:style>
  <w:style w:type="paragraph" w:customStyle="1" w:styleId="western">
    <w:name w:val="western"/>
    <w:basedOn w:val="a"/>
    <w:rsid w:val="00B44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B44F63"/>
    <w:rPr>
      <w:color w:val="0000FF"/>
      <w:u w:val="single"/>
    </w:rPr>
  </w:style>
  <w:style w:type="character" w:customStyle="1" w:styleId="10">
    <w:name w:val="Заголовок 1 Знак"/>
    <w:basedOn w:val="a0"/>
    <w:link w:val="1"/>
    <w:uiPriority w:val="9"/>
    <w:rsid w:val="008C711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187168">
      <w:bodyDiv w:val="1"/>
      <w:marLeft w:val="0"/>
      <w:marRight w:val="0"/>
      <w:marTop w:val="0"/>
      <w:marBottom w:val="0"/>
      <w:divBdr>
        <w:top w:val="none" w:sz="0" w:space="0" w:color="auto"/>
        <w:left w:val="none" w:sz="0" w:space="0" w:color="auto"/>
        <w:bottom w:val="none" w:sz="0" w:space="0" w:color="auto"/>
        <w:right w:val="none" w:sz="0" w:space="0" w:color="auto"/>
      </w:divBdr>
      <w:divsChild>
        <w:div w:id="1932279760">
          <w:marLeft w:val="0"/>
          <w:marRight w:val="0"/>
          <w:marTop w:val="100"/>
          <w:marBottom w:val="100"/>
          <w:divBdr>
            <w:top w:val="none" w:sz="0" w:space="0" w:color="auto"/>
            <w:left w:val="none" w:sz="0" w:space="0" w:color="auto"/>
            <w:bottom w:val="none" w:sz="0" w:space="0" w:color="auto"/>
            <w:right w:val="none" w:sz="0" w:space="0" w:color="auto"/>
          </w:divBdr>
        </w:div>
        <w:div w:id="1857496976">
          <w:marLeft w:val="0"/>
          <w:marRight w:val="0"/>
          <w:marTop w:val="0"/>
          <w:marBottom w:val="0"/>
          <w:divBdr>
            <w:top w:val="none" w:sz="0" w:space="0" w:color="auto"/>
            <w:left w:val="none" w:sz="0" w:space="0" w:color="auto"/>
            <w:bottom w:val="none" w:sz="0" w:space="0" w:color="auto"/>
            <w:right w:val="none" w:sz="0" w:space="0" w:color="auto"/>
          </w:divBdr>
          <w:divsChild>
            <w:div w:id="9112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1736">
      <w:bodyDiv w:val="1"/>
      <w:marLeft w:val="0"/>
      <w:marRight w:val="0"/>
      <w:marTop w:val="0"/>
      <w:marBottom w:val="0"/>
      <w:divBdr>
        <w:top w:val="none" w:sz="0" w:space="0" w:color="auto"/>
        <w:left w:val="none" w:sz="0" w:space="0" w:color="auto"/>
        <w:bottom w:val="none" w:sz="0" w:space="0" w:color="auto"/>
        <w:right w:val="none" w:sz="0" w:space="0" w:color="auto"/>
      </w:divBdr>
    </w:div>
    <w:div w:id="1987784973">
      <w:bodyDiv w:val="1"/>
      <w:marLeft w:val="0"/>
      <w:marRight w:val="0"/>
      <w:marTop w:val="0"/>
      <w:marBottom w:val="0"/>
      <w:divBdr>
        <w:top w:val="none" w:sz="0" w:space="0" w:color="auto"/>
        <w:left w:val="none" w:sz="0" w:space="0" w:color="auto"/>
        <w:bottom w:val="none" w:sz="0" w:space="0" w:color="auto"/>
        <w:right w:val="none" w:sz="0" w:space="0" w:color="auto"/>
      </w:divBdr>
    </w:div>
    <w:div w:id="2028170112">
      <w:bodyDiv w:val="1"/>
      <w:marLeft w:val="0"/>
      <w:marRight w:val="0"/>
      <w:marTop w:val="0"/>
      <w:marBottom w:val="0"/>
      <w:divBdr>
        <w:top w:val="none" w:sz="0" w:space="0" w:color="auto"/>
        <w:left w:val="none" w:sz="0" w:space="0" w:color="auto"/>
        <w:bottom w:val="none" w:sz="0" w:space="0" w:color="auto"/>
        <w:right w:val="none" w:sz="0" w:space="0" w:color="auto"/>
      </w:divBdr>
    </w:div>
    <w:div w:id="21410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1368</Words>
  <Characters>7799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2024-02-06T14:09:00Z</cp:lastPrinted>
  <dcterms:created xsi:type="dcterms:W3CDTF">2024-03-02T19:00:00Z</dcterms:created>
  <dcterms:modified xsi:type="dcterms:W3CDTF">2024-03-02T19:02:00Z</dcterms:modified>
</cp:coreProperties>
</file>